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pacing w:before="120" w:beforeLines="0" w:beforeAutospacing="0"/>
        <w:ind w:left="0" w:leftChars="0" w:firstLine="0"/>
        <w:jc w:val="center"/>
        <w:rPr>
          <w:rFonts w:hint="default" w:ascii="ＭＳ 明朝" w:hAnsi="ＭＳ 明朝" w:eastAsia="ＭＳ 明朝"/>
          <w:sz w:val="28"/>
        </w:rPr>
      </w:pPr>
      <w:bookmarkStart w:id="0" w:name="_GoBack"/>
      <w:bookmarkEnd w:id="0"/>
      <w:r>
        <w:rPr>
          <w:rFonts w:hint="eastAsia" w:ascii="ＭＳ 明朝" w:hAnsi="ＭＳ 明朝" w:eastAsia="ＭＳ 明朝"/>
          <w:sz w:val="28"/>
        </w:rPr>
        <w:t>都市景観形成基準適合確認書</w:t>
      </w:r>
    </w:p>
    <w:p>
      <w:pPr>
        <w:pStyle w:val="16"/>
        <w:spacing w:before="0" w:beforeLines="0" w:beforeAutospacing="0" w:after="117" w:afterLines="30" w:afterAutospacing="0"/>
        <w:ind w:left="0" w:leftChars="0" w:firstLine="0"/>
        <w:jc w:val="center"/>
        <w:rPr>
          <w:rFonts w:hint="default" w:ascii="HGP創英角ｺﾞｼｯｸUB" w:hAnsi="HGP創英角ｺﾞｼｯｸUB" w:eastAsia="HGP創英角ｺﾞｼｯｸUB"/>
          <w:sz w:val="24"/>
        </w:rPr>
      </w:pPr>
      <w:r>
        <w:rPr>
          <w:rFonts w:hint="eastAsia" w:ascii="ＭＳ 明朝" w:hAnsi="ＭＳ 明朝" w:eastAsia="ＭＳ 明朝"/>
          <w:sz w:val="28"/>
        </w:rPr>
        <w:t>（川越十ヵ町地区都市景観形成地域）</w:t>
      </w:r>
    </w:p>
    <w:tbl>
      <w:tblPr>
        <w:tblStyle w:val="48"/>
        <w:tblW w:w="8841" w:type="dxa"/>
        <w:tblInd w:w="-10" w:type="dxa"/>
        <w:tblLayout w:type="fixed"/>
        <w:tblLook w:firstRow="1" w:lastRow="0" w:firstColumn="1" w:lastColumn="0" w:noHBand="0" w:noVBand="1" w:val="04A0"/>
      </w:tblPr>
      <w:tblGrid>
        <w:gridCol w:w="426"/>
        <w:gridCol w:w="493"/>
        <w:gridCol w:w="493"/>
        <w:gridCol w:w="6301"/>
        <w:gridCol w:w="1128"/>
      </w:tblGrid>
      <w:tr>
        <w:trPr>
          <w:trHeight w:val="684" w:hRule="atLeast"/>
        </w:trPr>
        <w:tc>
          <w:tcPr>
            <w:tcW w:w="7713" w:type="dxa"/>
            <w:gridSpan w:val="4"/>
            <w:tcBorders>
              <w:top w:val="single" w:color="auto" w:sz="12"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40" w:lineRule="exact"/>
              <w:ind w:left="480" w:hanging="480" w:hangingChars="200"/>
              <w:jc w:val="center"/>
              <w:rPr>
                <w:rFonts w:hint="default" w:ascii="ＭＳ 明朝" w:hAnsi="ＭＳ 明朝"/>
                <w:sz w:val="24"/>
              </w:rPr>
            </w:pPr>
            <w:r>
              <w:rPr>
                <w:rFonts w:hint="eastAsia" w:ascii="ＭＳ 明朝" w:hAnsi="ＭＳ 明朝"/>
                <w:sz w:val="24"/>
              </w:rPr>
              <w:t>都市景観形成基準</w:t>
            </w:r>
          </w:p>
        </w:tc>
        <w:tc>
          <w:tcPr>
            <w:tcW w:w="1128" w:type="dxa"/>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before="117" w:beforeLines="30" w:beforeAutospacing="0" w:line="240" w:lineRule="exact"/>
              <w:ind w:left="440" w:hanging="440" w:hangingChars="200"/>
              <w:jc w:val="center"/>
              <w:rPr>
                <w:rFonts w:hint="default" w:ascii="ＭＳ 明朝" w:hAnsi="ＭＳ 明朝"/>
                <w:sz w:val="22"/>
              </w:rPr>
            </w:pPr>
            <w:r>
              <w:rPr>
                <w:rFonts w:hint="eastAsia" w:ascii="ＭＳ 明朝" w:hAnsi="ＭＳ 明朝"/>
                <w:sz w:val="22"/>
              </w:rPr>
              <w:t>チェック</w:t>
            </w:r>
          </w:p>
          <w:p>
            <w:pPr>
              <w:pStyle w:val="0"/>
              <w:spacing w:before="39" w:beforeLines="10" w:beforeAutospacing="0" w:line="240" w:lineRule="exact"/>
              <w:ind w:left="440" w:hanging="440" w:hangingChars="200"/>
              <w:jc w:val="center"/>
              <w:rPr>
                <w:rFonts w:hint="default" w:ascii="ＭＳ 明朝" w:hAnsi="ＭＳ 明朝"/>
                <w:sz w:val="22"/>
              </w:rPr>
            </w:pPr>
            <w:r>
              <w:rPr>
                <w:rFonts w:hint="eastAsia" w:ascii="ＭＳ 明朝" w:hAnsi="ＭＳ 明朝"/>
                <w:sz w:val="22"/>
              </w:rPr>
              <w:t>欄</w:t>
            </w:r>
          </w:p>
        </w:tc>
      </w:tr>
      <w:tr>
        <w:trPr>
          <w:trHeight w:val="735" w:hRule="atLeast"/>
        </w:trPr>
        <w:tc>
          <w:tcPr>
            <w:tcW w:w="426"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rPr>
            </w:pPr>
            <w:r>
              <w:rPr>
                <w:rFonts w:hint="eastAsia" w:ascii="ＭＳ 明朝" w:hAnsi="ＭＳ 明朝"/>
                <w:sz w:val="22"/>
              </w:rPr>
              <w:t>建築物及び工作物に関する基準</w:t>
            </w:r>
          </w:p>
          <w:p>
            <w:pPr>
              <w:pStyle w:val="0"/>
              <w:spacing w:before="117" w:beforeLines="30" w:beforeAutospacing="0" w:after="117" w:afterLines="30" w:afterAutospacing="0" w:line="280" w:lineRule="exact"/>
              <w:rPr>
                <w:rFonts w:hint="default" w:ascii="ＭＳ 明朝" w:hAnsi="ＭＳ 明朝"/>
                <w:sz w:val="22"/>
              </w:rPr>
            </w:pPr>
          </w:p>
        </w:tc>
        <w:tc>
          <w:tcPr>
            <w:tcW w:w="98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位置</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道路や敷地に対する建築物の位置は、周囲の町並みとの調和を図るものとする。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ind w:left="440" w:hanging="440" w:hangingChars="200"/>
              <w:jc w:val="center"/>
              <w:rPr>
                <w:rFonts w:hint="default" w:ascii="ＭＳ 明朝" w:hAnsi="ＭＳ 明朝"/>
                <w:sz w:val="22"/>
              </w:rPr>
            </w:pPr>
            <w:r>
              <w:rPr>
                <w:rFonts w:hint="eastAsia" w:ascii="ＭＳ 明朝" w:hAnsi="ＭＳ 明朝"/>
                <w:sz w:val="22"/>
              </w:rPr>
              <w:t>□</w:t>
            </w:r>
          </w:p>
        </w:tc>
      </w:tr>
      <w:tr>
        <w:trPr>
          <w:trHeight w:val="45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rPr>
            </w:pPr>
          </w:p>
        </w:tc>
        <w:tc>
          <w:tcPr>
            <w:tcW w:w="986"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規模</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「川越十ヵ町地区別図１建築物の高さの制限を受ける範囲」の（イ）の範囲における建築物の最高の高さは、「時の鐘」の高さを超えないよう</w:t>
            </w:r>
            <w:r>
              <w:rPr>
                <w:rFonts w:hint="eastAsia" w:ascii="ＭＳ 明朝" w:hAnsi="ＭＳ 明朝"/>
                <w:sz w:val="22"/>
              </w:rPr>
              <w:t>16</w:t>
            </w:r>
            <w:r>
              <w:rPr>
                <w:rFonts w:hint="eastAsia" w:ascii="ＭＳ 明朝" w:hAnsi="ＭＳ 明朝"/>
                <w:sz w:val="22"/>
              </w:rPr>
              <w:t>ｍ以下とする。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45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「川越十ヵ町地区別図１建築物の高さの制限を受ける範囲」の（ロ）の範囲における建築物の最高の高さについては、周囲の町並みに配慮する。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45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rPr>
            </w:pPr>
          </w:p>
        </w:tc>
        <w:tc>
          <w:tcPr>
            <w:tcW w:w="986"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20" w:lineRule="exact"/>
              <w:jc w:val="center"/>
              <w:rPr>
                <w:rFonts w:hint="default" w:ascii="ＭＳ 明朝" w:hAnsi="ＭＳ 明朝"/>
                <w:sz w:val="22"/>
              </w:rPr>
            </w:pPr>
            <w:r>
              <w:rPr>
                <w:rFonts w:hint="eastAsia" w:ascii="ＭＳ 明朝" w:hAnsi="ＭＳ 明朝"/>
                <w:sz w:val="22"/>
              </w:rPr>
              <w:t>形態</w:t>
            </w:r>
          </w:p>
          <w:p>
            <w:pPr>
              <w:pStyle w:val="0"/>
              <w:spacing w:before="117" w:beforeLines="30" w:beforeAutospacing="0" w:after="117" w:afterLines="30" w:afterAutospacing="0" w:line="220" w:lineRule="exact"/>
              <w:jc w:val="center"/>
              <w:rPr>
                <w:rFonts w:hint="default" w:ascii="ＭＳ 明朝" w:hAnsi="ＭＳ 明朝"/>
                <w:sz w:val="22"/>
              </w:rPr>
            </w:pPr>
            <w:r>
              <w:rPr>
                <w:rFonts w:hint="eastAsia" w:ascii="ＭＳ 明朝" w:hAnsi="ＭＳ 明朝"/>
                <w:sz w:val="22"/>
              </w:rPr>
              <w:t>・</w:t>
            </w:r>
          </w:p>
          <w:p>
            <w:pPr>
              <w:pStyle w:val="0"/>
              <w:spacing w:before="117" w:beforeLines="30" w:beforeAutospacing="0" w:after="117" w:afterLines="30" w:afterAutospacing="0" w:line="220" w:lineRule="exact"/>
              <w:jc w:val="center"/>
              <w:rPr>
                <w:rFonts w:hint="default" w:ascii="ＭＳ 明朝" w:hAnsi="ＭＳ 明朝"/>
                <w:sz w:val="22"/>
              </w:rPr>
            </w:pPr>
            <w:r>
              <w:rPr>
                <w:rFonts w:hint="eastAsia" w:ascii="ＭＳ 明朝" w:hAnsi="ＭＳ 明朝"/>
                <w:sz w:val="22"/>
              </w:rPr>
              <w:t>意匠</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「川越十ヵ町地区別図２建築物の形態の基準の範囲」の図示の範囲における建築物の形態は、周囲の伝統的な建造物と調和するように努める。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45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公共空間（道路や河川、公園等）への正面性に配慮しつつ、周囲の町並みや環境との調和を図るとともに、壁面の後退や分節化などにより、圧迫感を与えないように配慮する。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62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道路に面した車両の出入口は、必要以上に大きくならないようにし、町並みの連続性に配慮する。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618"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共同住宅では、バルコニー等の形態の工夫により、公共空間（道路や河川、公園等）から洗濯物などが見えにくくなるように配慮する。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386"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屋外階段は、建築物本体との一体感や調和に配慮する。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rPr>
            </w:pPr>
            <w:r>
              <w:rPr>
                <w:rFonts w:hint="eastAsia" w:ascii="ＭＳ 明朝" w:hAnsi="ＭＳ 明朝"/>
                <w:sz w:val="22"/>
              </w:rPr>
              <w:t>□</w:t>
            </w:r>
          </w:p>
        </w:tc>
      </w:tr>
      <w:tr>
        <w:trPr>
          <w:trHeight w:val="618"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屋外に設置される建築設備等については、公共空間（道路や河川、公園等）から目立たないような場所への設置や目隠しの設置について配慮する。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rPr>
            </w:pPr>
            <w:r>
              <w:rPr>
                <w:rFonts w:hint="eastAsia" w:ascii="ＭＳ 明朝" w:hAnsi="ＭＳ 明朝"/>
                <w:sz w:val="22"/>
              </w:rPr>
              <w:t>□</w:t>
            </w:r>
          </w:p>
        </w:tc>
      </w:tr>
      <w:tr>
        <w:trPr>
          <w:trHeight w:val="31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il"/>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自然素材の使用に努める。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rPr>
            </w:pPr>
            <w:r>
              <w:rPr>
                <w:rFonts w:hint="eastAsia" w:ascii="ＭＳ 明朝" w:hAnsi="ＭＳ 明朝"/>
                <w:sz w:val="22"/>
              </w:rPr>
              <w:t>□</w:t>
            </w:r>
          </w:p>
        </w:tc>
      </w:tr>
      <w:tr>
        <w:trPr>
          <w:trHeight w:val="48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shd w:val="clear" w:color="auto" w:fill="F3E6CA"/>
              </w:rPr>
            </w:pPr>
          </w:p>
        </w:tc>
        <w:tc>
          <w:tcPr>
            <w:tcW w:w="493" w:type="dxa"/>
            <w:vMerge w:val="restart"/>
            <w:tcBorders>
              <w:top w:val="nil"/>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493"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色彩の基準</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建築物の外壁や工作物の外観を構成するものの色彩は、周囲の町並みや環境との調和を図るとともに、表</w:t>
            </w:r>
            <w:r>
              <w:rPr>
                <w:rFonts w:hint="eastAsia" w:ascii="ＭＳ 明朝" w:hAnsi="ＭＳ 明朝"/>
                <w:sz w:val="22"/>
              </w:rPr>
              <w:t>1</w:t>
            </w:r>
            <w:r>
              <w:rPr>
                <w:rFonts w:hint="eastAsia" w:ascii="ＭＳ 明朝" w:hAnsi="ＭＳ 明朝"/>
                <w:sz w:val="22"/>
              </w:rPr>
              <w:t>のとおりとする。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ind w:left="440" w:hanging="440" w:hangingChars="200"/>
              <w:jc w:val="center"/>
              <w:rPr>
                <w:rFonts w:hint="default" w:ascii="ＭＳ 明朝" w:hAnsi="ＭＳ 明朝"/>
                <w:sz w:val="22"/>
              </w:rPr>
            </w:pPr>
            <w:r>
              <w:rPr>
                <w:rFonts w:hint="eastAsia" w:ascii="ＭＳ 明朝" w:hAnsi="ＭＳ 明朝"/>
                <w:sz w:val="22"/>
              </w:rPr>
              <w:t>□</w:t>
            </w:r>
          </w:p>
        </w:tc>
      </w:tr>
      <w:tr>
        <w:trPr>
          <w:trHeight w:val="77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shd w:val="clear" w:color="auto" w:fill="F3E6CA"/>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各立面につき、当該面積の</w:t>
            </w:r>
            <w:r>
              <w:rPr>
                <w:rFonts w:hint="eastAsia" w:ascii="ＭＳ 明朝" w:hAnsi="ＭＳ 明朝"/>
                <w:sz w:val="22"/>
              </w:rPr>
              <w:t>10</w:t>
            </w:r>
            <w:r>
              <w:rPr>
                <w:rFonts w:hint="eastAsia" w:ascii="ＭＳ 明朝" w:hAnsi="ＭＳ 明朝"/>
                <w:sz w:val="22"/>
              </w:rPr>
              <w:t>分の１以下の範囲内でアクセント色として着色される部分の色彩については、表</w:t>
            </w:r>
            <w:r>
              <w:rPr>
                <w:rFonts w:hint="eastAsia" w:ascii="ＭＳ 明朝" w:hAnsi="ＭＳ 明朝"/>
                <w:sz w:val="22"/>
              </w:rPr>
              <w:t>1</w:t>
            </w:r>
            <w:r>
              <w:rPr>
                <w:rFonts w:hint="eastAsia" w:ascii="ＭＳ 明朝" w:hAnsi="ＭＳ 明朝"/>
                <w:sz w:val="22"/>
              </w:rPr>
              <w:t>は適用しない。</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655"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shd w:val="clear" w:color="auto" w:fill="F3E6CA"/>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32" w:leftChars="-4" w:hanging="440" w:hangingChars="200"/>
              <w:jc w:val="left"/>
              <w:rPr>
                <w:rFonts w:hint="default" w:ascii="ＭＳ 明朝" w:hAnsi="ＭＳ 明朝"/>
                <w:sz w:val="22"/>
              </w:rPr>
            </w:pPr>
            <w:r>
              <w:rPr>
                <w:rFonts w:hint="eastAsia" w:ascii="ＭＳ 明朝" w:hAnsi="ＭＳ 明朝"/>
                <w:sz w:val="22"/>
              </w:rPr>
              <w:t>○　建築物の外壁や工作物の外観を構成するものは、落ち着きのある色調を基本とする。</w:t>
            </w:r>
          </w:p>
        </w:tc>
        <w:tc>
          <w:tcPr>
            <w:tcW w:w="1128" w:type="dxa"/>
            <w:tcBorders>
              <w:top w:val="single" w:color="auto" w:sz="6" w:space="0"/>
              <w:left w:val="single" w:color="auto" w:sz="6" w:space="0"/>
              <w:bottom w:val="none" w:color="auto" w:sz="0"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w:t>
            </w:r>
          </w:p>
        </w:tc>
      </w:tr>
    </w:tbl>
    <w:p>
      <w:pPr>
        <w:pStyle w:val="0"/>
        <w:rPr>
          <w:rFonts w:hint="default"/>
        </w:rPr>
      </w:pPr>
    </w:p>
    <w:tbl>
      <w:tblPr>
        <w:tblStyle w:val="48"/>
        <w:tblW w:w="8841" w:type="dxa"/>
        <w:tblInd w:w="-10" w:type="dxa"/>
        <w:tblLayout w:type="fixed"/>
        <w:tblLook w:firstRow="1" w:lastRow="0" w:firstColumn="1" w:lastColumn="0" w:noHBand="0" w:noVBand="1" w:val="04A0"/>
      </w:tblPr>
      <w:tblGrid>
        <w:gridCol w:w="426"/>
        <w:gridCol w:w="493"/>
        <w:gridCol w:w="493"/>
        <w:gridCol w:w="6301"/>
        <w:gridCol w:w="1128"/>
      </w:tblGrid>
      <w:tr>
        <w:trPr>
          <w:trHeight w:val="865" w:hRule="atLeast"/>
        </w:trPr>
        <w:tc>
          <w:tcPr>
            <w:tcW w:w="426" w:type="dxa"/>
            <w:vMerge w:val="restart"/>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shd w:val="clear" w:color="auto" w:fill="F3E6CA"/>
              </w:rPr>
            </w:pPr>
            <w:r>
              <w:rPr>
                <w:rFonts w:hint="eastAsia" w:ascii="ＭＳ 明朝" w:hAnsi="ＭＳ 明朝"/>
                <w:sz w:val="22"/>
              </w:rPr>
              <w:t>建築物及び工作物に関する基準</w:t>
            </w:r>
          </w:p>
          <w:p>
            <w:pPr>
              <w:pStyle w:val="0"/>
              <w:spacing w:before="117" w:beforeLines="30" w:beforeAutospacing="0" w:after="117" w:afterLines="30" w:afterAutospacing="0" w:line="280" w:lineRule="exact"/>
              <w:rPr>
                <w:rFonts w:hint="default" w:ascii="ＭＳ 明朝" w:hAnsi="ＭＳ 明朝"/>
                <w:sz w:val="22"/>
                <w:shd w:val="clear" w:color="auto" w:fill="F3E6CA"/>
              </w:rPr>
            </w:pPr>
          </w:p>
        </w:tc>
        <w:tc>
          <w:tcPr>
            <w:tcW w:w="493" w:type="dxa"/>
            <w:vMerge w:val="restart"/>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形態・意匠</w:t>
            </w:r>
          </w:p>
        </w:tc>
        <w:tc>
          <w:tcPr>
            <w:tcW w:w="493" w:type="dxa"/>
            <w:vMerge w:val="restart"/>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色彩の基準</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shd w:val="clear" w:color="auto" w:fill="F1DED1"/>
              </w:rPr>
            </w:pPr>
            <w:r>
              <w:rPr>
                <w:rFonts w:hint="eastAsia" w:ascii="ＭＳ 明朝" w:hAnsi="ＭＳ 明朝"/>
                <w:sz w:val="22"/>
              </w:rPr>
              <w:t>〇　多色使い又はアクセント色の使用に際しては、使用する色彩相互の調和、使用する色の数や面積等のバランスに十分配慮する。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963"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shd w:val="clear" w:color="auto" w:fill="F3E6CA"/>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着色していない木材、土壁（漆喰仕上げを含む）、石材、ガラス、金属等の材料によって仕上げられる部分の色彩は、表</w:t>
            </w:r>
            <w:r>
              <w:rPr>
                <w:rFonts w:hint="eastAsia" w:ascii="ＭＳ 明朝" w:hAnsi="ＭＳ 明朝"/>
                <w:sz w:val="22"/>
              </w:rPr>
              <w:t>1</w:t>
            </w:r>
            <w:r>
              <w:rPr>
                <w:rFonts w:hint="eastAsia" w:ascii="ＭＳ 明朝" w:hAnsi="ＭＳ 明朝"/>
                <w:sz w:val="22"/>
              </w:rPr>
              <w:t>は適用しない。</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362"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shd w:val="clear" w:color="auto" w:fill="F3E6CA"/>
              </w:rPr>
            </w:pPr>
          </w:p>
        </w:tc>
        <w:tc>
          <w:tcPr>
            <w:tcW w:w="493"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493"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他の法令により定められた色彩については、この制限を受けないものとする。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1606"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shd w:val="clear" w:color="auto" w:fill="F3E6CA"/>
              </w:rPr>
            </w:pPr>
          </w:p>
        </w:tc>
        <w:tc>
          <w:tcPr>
            <w:tcW w:w="98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形態・意匠への配慮・工夫事項の説明</w:t>
            </w:r>
          </w:p>
        </w:tc>
        <w:tc>
          <w:tcPr>
            <w:tcW w:w="7429" w:type="dxa"/>
            <w:gridSpan w:val="2"/>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before="117" w:beforeLines="30" w:beforeAutospacing="0" w:after="117" w:afterLines="30" w:afterAutospacing="0" w:line="280" w:lineRule="exact"/>
              <w:ind w:left="440" w:hanging="440" w:hangingChars="200"/>
              <w:rPr>
                <w:rFonts w:hint="default" w:ascii="ＭＳ 明朝" w:hAnsi="ＭＳ 明朝"/>
                <w:sz w:val="22"/>
                <w:shd w:val="clear" w:color="auto" w:fill="F3E6CA"/>
              </w:rPr>
            </w:pPr>
          </w:p>
        </w:tc>
      </w:tr>
      <w:tr>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shd w:val="clear" w:color="auto" w:fill="F3E6CA"/>
              </w:rPr>
            </w:pPr>
          </w:p>
        </w:tc>
        <w:tc>
          <w:tcPr>
            <w:tcW w:w="986"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門塀・</w:t>
            </w:r>
          </w:p>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擁壁等</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383" w:hanging="383" w:hangingChars="174"/>
              <w:jc w:val="left"/>
              <w:rPr>
                <w:rFonts w:hint="default" w:ascii="ＭＳ 明朝" w:hAnsi="ＭＳ 明朝"/>
                <w:sz w:val="22"/>
              </w:rPr>
            </w:pPr>
            <w:r>
              <w:rPr>
                <w:rFonts w:hint="eastAsia" w:ascii="ＭＳ 明朝" w:hAnsi="ＭＳ 明朝"/>
                <w:sz w:val="22"/>
              </w:rPr>
              <w:t>○　伝統的な町家が比較的連なる道路に面する側は、町並みと調和するような門、塀等を設けるなどの修景に努める。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ind w:left="440" w:hanging="440" w:hangingChars="200"/>
              <w:jc w:val="center"/>
              <w:rPr>
                <w:rFonts w:hint="default" w:ascii="ＭＳ 明朝" w:hAnsi="ＭＳ 明朝"/>
                <w:sz w:val="22"/>
                <w:shd w:val="clear" w:color="auto" w:fill="F3E6CA"/>
              </w:rPr>
            </w:pPr>
            <w:r>
              <w:rPr>
                <w:rFonts w:hint="eastAsia" w:ascii="ＭＳ 明朝" w:hAnsi="ＭＳ 明朝"/>
                <w:sz w:val="22"/>
              </w:rPr>
              <w:t>□</w:t>
            </w:r>
          </w:p>
        </w:tc>
      </w:tr>
      <w:tr>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shd w:val="clear" w:color="auto" w:fill="F3E6CA"/>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09" w:hanging="409" w:hangingChars="186"/>
              <w:jc w:val="left"/>
              <w:rPr>
                <w:rFonts w:hint="default" w:ascii="ＭＳ 明朝" w:hAnsi="ＭＳ 明朝"/>
                <w:sz w:val="22"/>
              </w:rPr>
            </w:pPr>
            <w:r>
              <w:rPr>
                <w:rFonts w:hint="eastAsia" w:ascii="ＭＳ 明朝" w:hAnsi="ＭＳ 明朝"/>
                <w:sz w:val="22"/>
              </w:rPr>
              <w:t>○　道路に面して擁壁等を設ける場合は、その前面に植樹するなど周囲に圧迫感を与えないように配慮する。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1743"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shd w:val="clear" w:color="auto" w:fill="F3E6CA"/>
              </w:rPr>
            </w:pPr>
          </w:p>
        </w:tc>
        <w:tc>
          <w:tcPr>
            <w:tcW w:w="98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門塀・擁壁等への配慮・工夫事項の説明</w:t>
            </w:r>
          </w:p>
        </w:tc>
        <w:tc>
          <w:tcPr>
            <w:tcW w:w="7429" w:type="dxa"/>
            <w:gridSpan w:val="2"/>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before="117" w:beforeLines="30" w:beforeAutospacing="0" w:after="117" w:afterLines="30" w:afterAutospacing="0" w:line="280" w:lineRule="exact"/>
              <w:ind w:left="440" w:hanging="440" w:hangingChars="200"/>
              <w:rPr>
                <w:rFonts w:hint="default" w:ascii="ＭＳ 明朝" w:hAnsi="ＭＳ 明朝"/>
                <w:sz w:val="22"/>
                <w:shd w:val="clear" w:color="auto" w:fill="F3E6CA"/>
              </w:rPr>
            </w:pPr>
          </w:p>
        </w:tc>
      </w:tr>
      <w:tr>
        <w:trPr/>
        <w:tc>
          <w:tcPr>
            <w:tcW w:w="426"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shd w:val="clear" w:color="auto" w:fill="F3E6CA"/>
              </w:rPr>
            </w:pPr>
          </w:p>
        </w:tc>
        <w:tc>
          <w:tcPr>
            <w:tcW w:w="98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仮設物</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djustRightInd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〇　仮囲い等の工事用仮設物や仮設建築物などは、歩行者の快適性を考慮するとともに、良好な景観を損なわないように、設置場所、形態、色彩等に配慮する。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ind w:left="440" w:hanging="440" w:hangingChars="200"/>
              <w:jc w:val="center"/>
              <w:rPr>
                <w:rFonts w:hint="default" w:ascii="ＭＳ 明朝" w:hAnsi="ＭＳ 明朝"/>
                <w:sz w:val="22"/>
                <w:shd w:val="clear" w:color="auto" w:fill="F3E6CA"/>
              </w:rPr>
            </w:pPr>
            <w:r>
              <w:rPr>
                <w:rFonts w:hint="eastAsia" w:ascii="ＭＳ 明朝" w:hAnsi="ＭＳ 明朝"/>
                <w:sz w:val="22"/>
              </w:rPr>
              <w:t>□</w:t>
            </w:r>
          </w:p>
        </w:tc>
      </w:tr>
      <w:tr>
        <w:trPr>
          <w:trHeight w:val="485" w:hRule="atLeast"/>
        </w:trPr>
        <w:tc>
          <w:tcPr>
            <w:tcW w:w="426"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rPr>
            </w:pPr>
            <w:r>
              <w:rPr>
                <w:rFonts w:hint="eastAsia" w:ascii="ＭＳ 明朝" w:hAnsi="ＭＳ 明朝"/>
                <w:sz w:val="22"/>
              </w:rPr>
              <w:t>その他の基準</w:t>
            </w:r>
          </w:p>
        </w:tc>
        <w:tc>
          <w:tcPr>
            <w:tcW w:w="986"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夜間</w:t>
            </w:r>
          </w:p>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景観</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djustRightInd w:val="0"/>
              <w:spacing w:before="78" w:beforeLines="20" w:beforeAutospacing="0" w:after="78" w:afterLines="20" w:afterAutospacing="0" w:line="280" w:lineRule="exact"/>
              <w:ind w:left="384" w:leftChars="-4" w:hanging="392" w:hangingChars="178"/>
              <w:jc w:val="left"/>
              <w:rPr>
                <w:rFonts w:hint="default" w:ascii="ＭＳ 明朝" w:hAnsi="ＭＳ 明朝"/>
                <w:sz w:val="22"/>
              </w:rPr>
            </w:pPr>
            <w:r>
              <w:rPr>
                <w:rFonts w:hint="eastAsia" w:ascii="ＭＳ 明朝" w:hAnsi="ＭＳ 明朝"/>
                <w:sz w:val="22"/>
              </w:rPr>
              <w:t>○　良質な夜間景観を演出するように努める。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485"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djustRightInd w:val="0"/>
              <w:spacing w:before="78" w:beforeLines="20" w:beforeAutospacing="0" w:after="78" w:afterLines="20" w:afterAutospacing="0" w:line="280" w:lineRule="exact"/>
              <w:ind w:left="432" w:leftChars="-4" w:hanging="440" w:hangingChars="200"/>
              <w:jc w:val="left"/>
              <w:rPr>
                <w:rFonts w:hint="default" w:ascii="ＭＳ 明朝" w:hAnsi="ＭＳ 明朝"/>
                <w:sz w:val="22"/>
              </w:rPr>
            </w:pPr>
            <w:r>
              <w:rPr>
                <w:rFonts w:hint="eastAsia" w:ascii="ＭＳ 明朝" w:hAnsi="ＭＳ 明朝"/>
                <w:sz w:val="22"/>
              </w:rPr>
              <w:t>○　屋外の照明は、周辺環境に配慮し過剰な光が周囲に拡散しないように配慮する。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78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djustRightInd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屋外の照明は、建築物や工作物の形態・意匠や用途に合わせ、それぞれにふさわしい色温度となるように配慮する。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203"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shd w:val="clear" w:color="auto" w:fill="F3E6CA"/>
              </w:rPr>
            </w:pPr>
          </w:p>
        </w:tc>
        <w:tc>
          <w:tcPr>
            <w:tcW w:w="986"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屋外</w:t>
            </w:r>
          </w:p>
          <w:p>
            <w:pPr>
              <w:pStyle w:val="0"/>
              <w:spacing w:before="117" w:beforeLines="30" w:beforeAutospacing="0" w:after="117" w:afterLines="30" w:afterAutospacing="0" w:line="280" w:lineRule="exact"/>
              <w:jc w:val="center"/>
              <w:rPr>
                <w:rFonts w:hint="default" w:ascii="ＭＳ 明朝" w:hAnsi="ＭＳ 明朝"/>
                <w:sz w:val="22"/>
                <w:shd w:val="clear" w:color="auto" w:fill="F3E6CA"/>
              </w:rPr>
            </w:pPr>
            <w:r>
              <w:rPr>
                <w:rFonts w:hint="eastAsia" w:ascii="ＭＳ 明朝" w:hAnsi="ＭＳ 明朝"/>
                <w:sz w:val="22"/>
              </w:rPr>
              <w:t>広告物</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djustRightInd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〇　川越市屋外広告物条例や関係法令を遵守する。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263"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shd w:val="clear" w:color="auto" w:fill="F3E6CA"/>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8" w:space="0"/>
              <w:right w:val="single" w:color="auto" w:sz="6" w:space="0"/>
              <w:tl2br w:val="none" w:color="auto" w:sz="0" w:space="0"/>
              <w:tr2bl w:val="none" w:color="auto" w:sz="0" w:space="0"/>
            </w:tcBorders>
            <w:vAlign w:val="top"/>
          </w:tcPr>
          <w:p>
            <w:pPr>
              <w:pStyle w:val="0"/>
              <w:spacing w:before="117" w:beforeLines="30" w:beforeAutospacing="0" w:after="117" w:afterLines="30" w:afterAutospacing="0" w:line="280" w:lineRule="exact"/>
              <w:jc w:val="left"/>
              <w:rPr>
                <w:rFonts w:hint="default" w:ascii="ＭＳ 明朝" w:hAnsi="ＭＳ 明朝"/>
                <w:sz w:val="22"/>
              </w:rPr>
            </w:pPr>
            <w:r>
              <w:rPr>
                <w:rFonts w:hint="eastAsia" w:ascii="ＭＳ 明朝" w:hAnsi="ＭＳ 明朝"/>
                <w:sz w:val="22"/>
              </w:rPr>
              <w:t>○　大規模な広告物は禁止する。</w:t>
            </w:r>
          </w:p>
        </w:tc>
        <w:tc>
          <w:tcPr>
            <w:tcW w:w="1128" w:type="dxa"/>
            <w:tcBorders>
              <w:top w:val="single" w:color="auto" w:sz="6" w:space="0"/>
              <w:left w:val="single" w:color="auto" w:sz="6" w:space="0"/>
              <w:bottom w:val="single" w:color="auto" w:sz="8"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54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shd w:val="clear" w:color="auto" w:fill="F3E6CA"/>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屋外広告物は、屋根の連続がつくるスカイラインや町並みの連続性を阻害しないようにする。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w:t>
            </w:r>
          </w:p>
        </w:tc>
      </w:tr>
    </w:tbl>
    <w:p>
      <w:pPr>
        <w:pStyle w:val="0"/>
        <w:rPr>
          <w:rFonts w:hint="default"/>
        </w:rPr>
      </w:pPr>
    </w:p>
    <w:tbl>
      <w:tblPr>
        <w:tblStyle w:val="48"/>
        <w:tblW w:w="8841" w:type="dxa"/>
        <w:tblInd w:w="-10" w:type="dxa"/>
        <w:tblLayout w:type="fixed"/>
        <w:tblLook w:firstRow="1" w:lastRow="0" w:firstColumn="1" w:lastColumn="0" w:noHBand="0" w:noVBand="1" w:val="04A0"/>
      </w:tblPr>
      <w:tblGrid>
        <w:gridCol w:w="426"/>
        <w:gridCol w:w="986"/>
        <w:gridCol w:w="6301"/>
        <w:gridCol w:w="1128"/>
      </w:tblGrid>
      <w:tr>
        <w:trPr>
          <w:trHeight w:val="540" w:hRule="atLeast"/>
        </w:trPr>
        <w:tc>
          <w:tcPr>
            <w:tcW w:w="426" w:type="dxa"/>
            <w:vMerge w:val="restart"/>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shd w:val="clear" w:color="auto" w:fill="F3E6CA"/>
              </w:rPr>
            </w:pPr>
            <w:r>
              <w:rPr>
                <w:rFonts w:hint="eastAsia" w:ascii="ＭＳ 明朝" w:hAnsi="ＭＳ 明朝"/>
                <w:sz w:val="22"/>
              </w:rPr>
              <w:t>その他の基準</w:t>
            </w:r>
          </w:p>
        </w:tc>
        <w:tc>
          <w:tcPr>
            <w:tcW w:w="98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屋外</w:t>
            </w:r>
          </w:p>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広告物</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色彩は、町並みと調和したものとする。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21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rPr>
            </w:pPr>
          </w:p>
        </w:tc>
        <w:tc>
          <w:tcPr>
            <w:tcW w:w="986"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緑化等</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16"/>
              <w:spacing w:before="78" w:beforeLines="20" w:beforeAutospacing="0" w:after="78" w:afterLines="20" w:afterAutospacing="0" w:line="280" w:lineRule="exact"/>
              <w:ind w:left="0" w:leftChars="0" w:firstLine="0"/>
              <w:jc w:val="left"/>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大樹や古木の保全に努める。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21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rPr>
            </w:pPr>
          </w:p>
        </w:tc>
        <w:tc>
          <w:tcPr>
            <w:tcW w:w="98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jc w:val="left"/>
              <w:rPr>
                <w:rFonts w:hint="default" w:ascii="ＭＳ 明朝" w:hAnsi="ＭＳ 明朝"/>
                <w:sz w:val="22"/>
              </w:rPr>
            </w:pPr>
            <w:r>
              <w:rPr>
                <w:rFonts w:hint="eastAsia" w:ascii="ＭＳ 明朝" w:hAnsi="ＭＳ 明朝"/>
                <w:sz w:val="22"/>
              </w:rPr>
              <w:t>○　既存樹木については、できる限り保存し活かす。</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63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rPr>
            </w:pPr>
          </w:p>
        </w:tc>
        <w:tc>
          <w:tcPr>
            <w:tcW w:w="98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住宅地における道路に面する側は、生け垣などによる緑化に努める。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63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rPr>
            </w:pPr>
          </w:p>
        </w:tc>
        <w:tc>
          <w:tcPr>
            <w:tcW w:w="98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公共空間（道路や河川、公園等）に接する部分については、緑化を図るなど、空間のつながり方に配慮する。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326"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rPr>
            </w:pPr>
          </w:p>
        </w:tc>
        <w:tc>
          <w:tcPr>
            <w:tcW w:w="98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規模の大きな敷地は、積極的に緑化に努める。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rPr>
            </w:pPr>
            <w:r>
              <w:rPr>
                <w:rFonts w:hint="eastAsia" w:ascii="ＭＳ 明朝" w:hAnsi="ＭＳ 明朝"/>
                <w:sz w:val="22"/>
              </w:rPr>
              <w:t>□</w:t>
            </w:r>
          </w:p>
        </w:tc>
      </w:tr>
      <w:tr>
        <w:trPr>
          <w:trHeight w:val="63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rPr>
            </w:pPr>
          </w:p>
        </w:tc>
        <w:tc>
          <w:tcPr>
            <w:tcW w:w="986"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空き地及び屋外駐車場の道路に面する側は、生け垣などによる緑化に努める。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rPr>
            </w:pPr>
            <w:r>
              <w:rPr>
                <w:rFonts w:hint="eastAsia" w:ascii="ＭＳ 明朝" w:hAnsi="ＭＳ 明朝"/>
                <w:sz w:val="22"/>
              </w:rPr>
              <w:t>□</w:t>
            </w:r>
          </w:p>
        </w:tc>
      </w:tr>
      <w:tr>
        <w:trPr>
          <w:trHeight w:val="63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rPr>
            </w:pPr>
          </w:p>
        </w:tc>
        <w:tc>
          <w:tcPr>
            <w:tcW w:w="986" w:type="dxa"/>
            <w:tcBorders>
              <w:top w:val="single" w:color="auto" w:sz="6" w:space="0"/>
              <w:left w:val="single" w:color="auto" w:sz="6" w:space="0"/>
              <w:bottom w:val="single" w:color="auto" w:sz="8"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自動販売機</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自動販売機は町並みと調和するよう配置や</w:t>
            </w:r>
            <w:r>
              <w:rPr>
                <w:rFonts w:hint="default" w:ascii="ＭＳ 明朝" w:hAnsi="ＭＳ 明朝"/>
                <w:sz w:val="22"/>
              </w:rPr>
              <w:t>デザイン</w:t>
            </w:r>
            <w:r>
              <w:rPr>
                <w:rFonts w:hint="eastAsia" w:ascii="ＭＳ 明朝" w:hAnsi="ＭＳ 明朝"/>
                <w:sz w:val="22"/>
              </w:rPr>
              <w:t>に配慮する。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rPr>
            </w:pPr>
            <w:r>
              <w:rPr>
                <w:rFonts w:hint="eastAsia" w:ascii="ＭＳ 明朝" w:hAnsi="ＭＳ 明朝"/>
                <w:sz w:val="22"/>
              </w:rPr>
              <w:t>□</w:t>
            </w:r>
          </w:p>
        </w:tc>
      </w:tr>
      <w:tr>
        <w:trPr>
          <w:trHeight w:val="866"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rPr>
            </w:pPr>
          </w:p>
        </w:tc>
        <w:tc>
          <w:tcPr>
            <w:tcW w:w="986" w:type="dxa"/>
            <w:tcBorders>
              <w:top w:val="single" w:color="auto" w:sz="8"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rPr>
                <w:rFonts w:hint="default" w:ascii="ＭＳ 明朝" w:hAnsi="ＭＳ 明朝"/>
                <w:sz w:val="22"/>
              </w:rPr>
            </w:pPr>
            <w:r>
              <w:rPr>
                <w:rFonts w:hint="eastAsia" w:ascii="ＭＳ 明朝" w:hAnsi="ＭＳ 明朝"/>
                <w:sz w:val="22"/>
              </w:rPr>
              <w:t>まちづくりのルール</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都市景観の形成に資する</w:t>
            </w:r>
            <w:r>
              <w:rPr>
                <w:rFonts w:hint="eastAsia" w:ascii="ＭＳ 明朝" w:hAnsi="ＭＳ 明朝"/>
                <w:kern w:val="0"/>
                <w:sz w:val="22"/>
              </w:rPr>
              <w:t>地域住民等による自主的なまちづくりのルールを尊重する。</w:t>
            </w:r>
          </w:p>
        </w:tc>
        <w:tc>
          <w:tcPr>
            <w:tcW w:w="1128" w:type="dxa"/>
            <w:tcBorders>
              <w:top w:val="single" w:color="auto" w:sz="6" w:space="0"/>
              <w:left w:val="single" w:color="auto" w:sz="6"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ascii="ＭＳ 明朝" w:hAnsi="ＭＳ 明朝"/>
                <w:sz w:val="22"/>
              </w:rPr>
              <w:t>□</w:t>
            </w:r>
          </w:p>
        </w:tc>
      </w:tr>
      <w:tr>
        <w:trPr>
          <w:trHeight w:val="1618" w:hRule="atLeast"/>
        </w:trPr>
        <w:tc>
          <w:tcPr>
            <w:tcW w:w="426" w:type="dxa"/>
            <w:vMerge w:val="continue"/>
            <w:tcBorders>
              <w:top w:val="none" w:color="auto" w:sz="0" w:space="0"/>
              <w:left w:val="single" w:color="auto" w:sz="12" w:space="0"/>
              <w:bottom w:val="single" w:color="auto" w:sz="12"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p>
        </w:tc>
        <w:tc>
          <w:tcPr>
            <w:tcW w:w="986" w:type="dxa"/>
            <w:tcBorders>
              <w:top w:val="single" w:color="auto" w:sz="6" w:space="0"/>
              <w:left w:val="single" w:color="auto" w:sz="6" w:space="0"/>
              <w:bottom w:val="single" w:color="auto" w:sz="12"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その他の基準への配慮・工夫事項の説明</w:t>
            </w:r>
          </w:p>
        </w:tc>
        <w:tc>
          <w:tcPr>
            <w:tcW w:w="7429" w:type="dxa"/>
            <w:gridSpan w:val="2"/>
            <w:tcBorders>
              <w:top w:val="single" w:color="auto" w:sz="4" w:space="0"/>
              <w:left w:val="single" w:color="auto" w:sz="6" w:space="0"/>
              <w:bottom w:val="single" w:color="auto" w:sz="12" w:space="0"/>
              <w:right w:val="single" w:color="auto" w:sz="12" w:space="0"/>
              <w:tl2br w:val="none" w:color="auto" w:sz="0" w:space="0"/>
              <w:tr2bl w:val="none" w:color="auto" w:sz="0" w:space="0"/>
            </w:tcBorders>
            <w:vAlign w:val="top"/>
          </w:tcPr>
          <w:p>
            <w:pPr>
              <w:pStyle w:val="0"/>
              <w:spacing w:before="117" w:beforeLines="30" w:beforeAutospacing="0" w:after="117" w:afterLines="30" w:afterAutospacing="0" w:line="280" w:lineRule="exact"/>
              <w:jc w:val="left"/>
              <w:rPr>
                <w:rFonts w:hint="default" w:ascii="ＭＳ 明朝" w:hAnsi="ＭＳ 明朝"/>
                <w:sz w:val="22"/>
              </w:rPr>
            </w:pPr>
          </w:p>
        </w:tc>
      </w:tr>
    </w:tbl>
    <w:p>
      <w:pPr>
        <w:pStyle w:val="0"/>
        <w:widowControl w:val="1"/>
        <w:spacing w:before="117" w:beforeLines="30" w:beforeAutospacing="0" w:after="117" w:afterLines="30" w:afterAutospacing="0" w:line="280" w:lineRule="exact"/>
        <w:jc w:val="left"/>
        <w:rPr>
          <w:rFonts w:hint="default" w:ascii="ＭＳ 明朝" w:hAnsi="ＭＳ 明朝"/>
          <w:sz w:val="22"/>
        </w:rPr>
      </w:pPr>
    </w:p>
    <w:tbl>
      <w:tblPr>
        <w:tblStyle w:val="48"/>
        <w:tblW w:w="8757" w:type="dxa"/>
        <w:tblInd w:w="0" w:type="dxa"/>
        <w:tblLayout w:type="fixed"/>
        <w:tblLook w:firstRow="1" w:lastRow="0" w:firstColumn="1" w:lastColumn="0" w:noHBand="0" w:noVBand="1" w:val="04A0"/>
      </w:tblPr>
      <w:tblGrid>
        <w:gridCol w:w="1389"/>
        <w:gridCol w:w="6251"/>
        <w:gridCol w:w="1117"/>
      </w:tblGrid>
      <w:tr>
        <w:trPr/>
        <w:tc>
          <w:tcPr>
            <w:tcW w:w="8926" w:type="dxa"/>
            <w:gridSpan w:val="3"/>
            <w:tcBorders>
              <w:top w:val="single" w:color="auto" w:sz="12" w:space="0"/>
              <w:left w:val="single" w:color="auto" w:sz="12" w:space="0"/>
              <w:bottom w:val="single" w:color="auto" w:sz="6" w:space="0"/>
              <w:right w:val="single" w:color="auto" w:sz="12" w:space="0"/>
              <w:tl2br w:val="none" w:color="auto" w:sz="0" w:space="0"/>
              <w:tr2bl w:val="none" w:color="auto" w:sz="0" w:space="0"/>
            </w:tcBorders>
            <w:vAlign w:val="top"/>
          </w:tcPr>
          <w:p>
            <w:pPr>
              <w:pStyle w:val="0"/>
              <w:widowControl w:val="1"/>
              <w:spacing w:before="117" w:beforeLines="30" w:beforeAutospacing="0" w:after="117" w:afterLines="30" w:afterAutospacing="0" w:line="280" w:lineRule="exact"/>
              <w:jc w:val="left"/>
              <w:rPr>
                <w:rFonts w:hint="default" w:ascii="ＭＳ 明朝" w:hAnsi="ＭＳ 明朝"/>
                <w:sz w:val="22"/>
              </w:rPr>
            </w:pPr>
            <w:r>
              <w:rPr>
                <w:rFonts w:hint="eastAsia" w:ascii="ＭＳ 明朝" w:hAnsi="ＭＳ 明朝"/>
                <w:sz w:val="22"/>
              </w:rPr>
              <w:t>地域が定めた自主的な規定です。景観法等に基づくものではありません。</w:t>
            </w:r>
          </w:p>
        </w:tc>
      </w:tr>
      <w:tr>
        <w:trPr/>
        <w:tc>
          <w:tcPr>
            <w:tcW w:w="1413"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widowControl w:val="1"/>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自主規定</w:t>
            </w:r>
          </w:p>
        </w:tc>
        <w:tc>
          <w:tcPr>
            <w:tcW w:w="637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117" w:beforeLines="30" w:beforeAutospacing="0" w:after="117" w:afterLines="30" w:afterAutospacing="0" w:line="280" w:lineRule="exact"/>
              <w:jc w:val="left"/>
              <w:rPr>
                <w:rFonts w:hint="default" w:ascii="ＭＳ 明朝" w:hAnsi="ＭＳ 明朝"/>
                <w:sz w:val="22"/>
              </w:rPr>
            </w:pPr>
            <w:r>
              <w:rPr>
                <w:rFonts w:hint="eastAsia" w:ascii="ＭＳ 明朝" w:hAnsi="ＭＳ 明朝"/>
                <w:sz w:val="22"/>
              </w:rPr>
              <w:t>○　空き地及び屋外駐車場においては、管理を徹底する。</w:t>
            </w:r>
          </w:p>
        </w:tc>
        <w:tc>
          <w:tcPr>
            <w:tcW w:w="1134" w:type="dxa"/>
            <w:tcBorders>
              <w:top w:val="single" w:color="auto" w:sz="6" w:space="0"/>
              <w:left w:val="single" w:color="auto" w:sz="6" w:space="0"/>
              <w:bottom w:val="none" w:color="auto" w:sz="0" w:space="0"/>
              <w:right w:val="single" w:color="auto" w:sz="12" w:space="0"/>
              <w:tl2br w:val="none" w:color="auto" w:sz="0" w:space="0"/>
              <w:tr2bl w:val="none" w:color="auto" w:sz="0" w:space="0"/>
            </w:tcBorders>
            <w:vAlign w:val="center"/>
          </w:tcPr>
          <w:p>
            <w:pPr>
              <w:pStyle w:val="0"/>
              <w:widowControl w:val="1"/>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889" w:hRule="atLeast"/>
        </w:trPr>
        <w:tc>
          <w:tcPr>
            <w:tcW w:w="1413" w:type="dxa"/>
            <w:vMerge w:val="continue"/>
            <w:tcBorders>
              <w:top w:val="none" w:color="auto" w:sz="0" w:space="0"/>
              <w:left w:val="single" w:color="auto" w:sz="12" w:space="0"/>
              <w:bottom w:val="single" w:color="auto" w:sz="12" w:space="0"/>
              <w:right w:val="single" w:color="auto" w:sz="6" w:space="0"/>
              <w:tl2br w:val="none" w:color="auto" w:sz="0" w:space="0"/>
              <w:tr2bl w:val="none" w:color="auto" w:sz="0" w:space="0"/>
            </w:tcBorders>
            <w:vAlign w:val="top"/>
          </w:tcPr>
          <w:p>
            <w:pPr>
              <w:pStyle w:val="0"/>
              <w:widowControl w:val="1"/>
              <w:spacing w:before="117" w:beforeLines="30" w:beforeAutospacing="0" w:after="117" w:afterLines="30" w:afterAutospacing="0" w:line="280" w:lineRule="exact"/>
              <w:jc w:val="left"/>
              <w:rPr>
                <w:rFonts w:hint="default" w:ascii="ＭＳ 明朝" w:hAnsi="ＭＳ 明朝"/>
                <w:sz w:val="22"/>
              </w:rPr>
            </w:pPr>
          </w:p>
        </w:tc>
        <w:tc>
          <w:tcPr>
            <w:tcW w:w="6379" w:type="dxa"/>
            <w:tcBorders>
              <w:top w:val="single" w:color="auto" w:sz="6" w:space="0"/>
              <w:left w:val="single" w:color="auto" w:sz="6" w:space="0"/>
              <w:bottom w:val="single" w:color="auto" w:sz="12" w:space="0"/>
              <w:right w:val="single" w:color="auto" w:sz="6" w:space="0"/>
              <w:tl2br w:val="none" w:color="auto" w:sz="0" w:space="0"/>
              <w:tr2bl w:val="none" w:color="auto" w:sz="0" w:space="0"/>
            </w:tcBorders>
            <w:vAlign w:val="top"/>
          </w:tcPr>
          <w:p>
            <w:pPr>
              <w:pStyle w:val="0"/>
              <w:widowControl w:val="1"/>
              <w:spacing w:before="117" w:beforeLines="30" w:beforeAutospacing="0" w:after="117" w:afterLines="30" w:afterAutospacing="0" w:line="280" w:lineRule="exact"/>
              <w:ind w:left="440" w:hanging="440" w:hangingChars="200"/>
              <w:jc w:val="left"/>
              <w:rPr>
                <w:rFonts w:hint="default" w:ascii="ＭＳ 明朝" w:hAnsi="ＭＳ 明朝"/>
                <w:sz w:val="22"/>
              </w:rPr>
            </w:pPr>
            <w:r>
              <w:rPr>
                <w:rFonts w:hint="eastAsia" w:ascii="ＭＳ 明朝" w:hAnsi="ＭＳ 明朝"/>
                <w:sz w:val="22"/>
              </w:rPr>
              <w:t>○　風俗営業等の規制及び業務の適正化等に関する法律における第２条第６項店舗型性風俗特殊営業と第２条第７項無店舗型性風俗特殊営業を禁止する。</w:t>
            </w:r>
          </w:p>
        </w:tc>
        <w:tc>
          <w:tcPr>
            <w:tcW w:w="1134" w:type="dxa"/>
            <w:tcBorders>
              <w:top w:val="none" w:color="auto" w:sz="0" w:space="0"/>
              <w:left w:val="single" w:color="auto" w:sz="6" w:space="0"/>
              <w:bottom w:val="single" w:color="auto" w:sz="12" w:space="0"/>
              <w:right w:val="single" w:color="auto" w:sz="12" w:space="0"/>
              <w:tl2br w:val="none" w:color="auto" w:sz="0" w:space="0"/>
              <w:tr2bl w:val="none" w:color="auto" w:sz="0" w:space="0"/>
            </w:tcBorders>
            <w:vAlign w:val="center"/>
          </w:tcPr>
          <w:p>
            <w:pPr>
              <w:pStyle w:val="0"/>
              <w:widowControl w:val="1"/>
              <w:spacing w:before="117" w:beforeLines="30" w:beforeAutospacing="0" w:after="117" w:afterLines="30" w:afterAutospacing="0" w:line="280" w:lineRule="exact"/>
              <w:jc w:val="center"/>
              <w:rPr>
                <w:rFonts w:hint="default" w:ascii="ＭＳ 明朝" w:hAnsi="ＭＳ 明朝"/>
                <w:sz w:val="22"/>
              </w:rPr>
            </w:pPr>
            <w:r>
              <w:rPr>
                <w:rFonts w:hint="eastAsia" w:ascii="ＭＳ 明朝" w:hAnsi="ＭＳ 明朝"/>
                <w:sz w:val="22"/>
              </w:rPr>
              <w:t>□</w:t>
            </w:r>
          </w:p>
        </w:tc>
      </w:tr>
    </w:tbl>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r>
        <w:rPr>
          <w:rFonts w:hint="default" w:ascii="ＭＳ ゴシック" w:hAnsi="ＭＳ ゴシック" w:eastAsia="ＭＳ ゴシック"/>
          <w:sz w:val="20"/>
        </w:rPr>
        <mc:AlternateContent>
          <mc:Choice Requires="wps">
            <w:drawing>
              <wp:anchor distT="0" distB="0" distL="114300" distR="114300" simplePos="0" relativeHeight="2" behindDoc="0" locked="0" layoutInCell="1" hidden="0" allowOverlap="1">
                <wp:simplePos x="0" y="0"/>
                <wp:positionH relativeFrom="column">
                  <wp:posOffset>-226695</wp:posOffset>
                </wp:positionH>
                <wp:positionV relativeFrom="paragraph">
                  <wp:posOffset>139700</wp:posOffset>
                </wp:positionV>
                <wp:extent cx="6348730" cy="2677160"/>
                <wp:effectExtent l="0" t="0" r="635" b="635"/>
                <wp:wrapNone/>
                <wp:docPr id="1026" name="Text Box 206"/>
                <a:graphic xmlns:a="http://schemas.openxmlformats.org/drawingml/2006/main">
                  <a:graphicData uri="http://schemas.microsoft.com/office/word/2010/wordprocessingShape">
                    <wps:wsp>
                      <wps:cNvPr id="1026" name="Text Box 206"/>
                      <wps:cNvSpPr txBox="1">
                        <a:spLocks noChangeArrowheads="1"/>
                      </wps:cNvSpPr>
                      <wps:spPr>
                        <a:xfrm>
                          <a:off x="0" y="0"/>
                          <a:ext cx="6348730" cy="2677160"/>
                        </a:xfrm>
                        <a:prstGeom prst="rect">
                          <a:avLst/>
                        </a:prstGeom>
                        <a:noFill/>
                        <a:ln>
                          <a:noFill/>
                        </a:ln>
                      </wps:spPr>
                      <wps:txbx>
                        <w:txbxContent>
                          <w:p>
                            <w:pPr>
                              <w:pStyle w:val="0"/>
                              <w:ind w:firstLine="400" w:firstLineChars="200"/>
                              <w:rPr>
                                <w:rFonts w:hint="default" w:asciiTheme="majorEastAsia" w:hAnsiTheme="majorEastAsia" w:eastAsiaTheme="majorEastAsia"/>
                                <w:sz w:val="20"/>
                              </w:rPr>
                            </w:pPr>
                            <w:r>
                              <w:rPr>
                                <w:rFonts w:hint="eastAsia" w:asciiTheme="majorEastAsia" w:hAnsiTheme="majorEastAsia" w:eastAsiaTheme="majorEastAsia"/>
                                <w:sz w:val="20"/>
                              </w:rPr>
                              <w:t>＜表</w:t>
                            </w:r>
                            <w:r>
                              <w:rPr>
                                <w:rFonts w:hint="default" w:asciiTheme="majorEastAsia" w:hAnsiTheme="majorEastAsia" w:eastAsiaTheme="majorEastAsia"/>
                                <w:sz w:val="20"/>
                              </w:rPr>
                              <w:t>１　</w:t>
                            </w:r>
                            <w:r>
                              <w:rPr>
                                <w:rFonts w:hint="eastAsia" w:asciiTheme="majorEastAsia" w:hAnsiTheme="majorEastAsia" w:eastAsiaTheme="majorEastAsia"/>
                                <w:sz w:val="20"/>
                              </w:rPr>
                              <w:t>川越十ヵ町地区の色彩の</w:t>
                            </w:r>
                            <w:r>
                              <w:rPr>
                                <w:rFonts w:hint="default" w:asciiTheme="majorEastAsia" w:hAnsiTheme="majorEastAsia" w:eastAsiaTheme="majorEastAsia"/>
                                <w:sz w:val="20"/>
                              </w:rPr>
                              <w:t>範囲</w:t>
                            </w:r>
                            <w:r>
                              <w:rPr>
                                <w:rFonts w:hint="eastAsia" w:asciiTheme="majorEastAsia" w:hAnsiTheme="majorEastAsia" w:eastAsiaTheme="majorEastAsia"/>
                                <w:sz w:val="20"/>
                              </w:rPr>
                              <w:t>＞</w:t>
                            </w:r>
                          </w:p>
                          <w:p>
                            <w:pPr>
                              <w:pStyle w:val="0"/>
                              <w:ind w:firstLine="400" w:firstLineChars="200"/>
                              <w:rPr>
                                <w:rFonts w:hint="default" w:asciiTheme="majorEastAsia" w:hAnsiTheme="majorEastAsia" w:eastAsiaTheme="majorEastAsia"/>
                                <w:sz w:val="20"/>
                              </w:rPr>
                            </w:pPr>
                            <w:r>
                              <w:rPr>
                                <w:rFonts w:hint="eastAsia" w:asciiTheme="majorEastAsia" w:hAnsiTheme="majorEastAsia" w:eastAsiaTheme="majorEastAsia"/>
                                <w:sz w:val="20"/>
                              </w:rPr>
                              <w:t>（数値はマンセル表色法によるマンセル値）</w:t>
                            </w:r>
                          </w:p>
                          <w:tbl>
                            <w:tblPr>
                              <w:tblStyle w:val="11"/>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09"/>
                              <w:gridCol w:w="2263"/>
                              <w:gridCol w:w="3158"/>
                            </w:tblGrid>
                            <w:tr>
                              <w:trPr/>
                              <w:tc>
                                <w:tcPr>
                                  <w:tcW w:w="3509" w:type="dxa"/>
                                  <w:vAlign w:val="top"/>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色相</w:t>
                                  </w:r>
                                </w:p>
                              </w:tc>
                              <w:tc>
                                <w:tcPr>
                                  <w:tcW w:w="2263" w:type="dxa"/>
                                  <w:vAlign w:val="top"/>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明度</w:t>
                                  </w:r>
                                </w:p>
                              </w:tc>
                              <w:tc>
                                <w:tcPr>
                                  <w:tcW w:w="3158" w:type="dxa"/>
                                  <w:vAlign w:val="top"/>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彩度</w:t>
                                  </w:r>
                                </w:p>
                              </w:tc>
                            </w:tr>
                            <w:tr>
                              <w:trPr>
                                <w:trHeight w:val="203" w:hRule="atLeast"/>
                              </w:trPr>
                              <w:tc>
                                <w:tcPr>
                                  <w:tcW w:w="3509" w:type="dxa"/>
                                  <w:vMerge w:val="restart"/>
                                  <w:vAlign w:val="center"/>
                                </w:tcPr>
                                <w:p>
                                  <w:pPr>
                                    <w:pStyle w:val="0"/>
                                    <w:spacing w:before="39" w:beforeLines="10" w:beforeAutospacing="0" w:after="39" w:afterLines="10" w:afterAutospacing="0" w:line="280" w:lineRule="exact"/>
                                    <w:rPr>
                                      <w:rFonts w:hint="default" w:ascii="ＭＳ ゴシック" w:hAnsi="ＭＳ ゴシック" w:eastAsia="ＭＳ ゴシック"/>
                                      <w:sz w:val="20"/>
                                    </w:rPr>
                                  </w:pPr>
                                  <w:r>
                                    <w:rPr>
                                      <w:rFonts w:hint="eastAsia" w:ascii="ＭＳ ゴシック" w:hAnsi="ＭＳ ゴシック" w:eastAsia="ＭＳ ゴシック"/>
                                      <w:sz w:val="20"/>
                                    </w:rPr>
                                    <w:t>7.5R</w:t>
                                  </w:r>
                                  <w:r>
                                    <w:rPr>
                                      <w:rFonts w:hint="eastAsia" w:ascii="ＭＳ ゴシック" w:hAnsi="ＭＳ ゴシック" w:eastAsia="ＭＳ ゴシック"/>
                                      <w:sz w:val="20"/>
                                    </w:rPr>
                                    <w:t>〜</w:t>
                                  </w:r>
                                  <w:r>
                                    <w:rPr>
                                      <w:rFonts w:hint="eastAsia" w:ascii="ＭＳ ゴシック" w:hAnsi="ＭＳ ゴシック" w:eastAsia="ＭＳ ゴシック"/>
                                      <w:sz w:val="20"/>
                                    </w:rPr>
                                    <w:t>7.5Y</w:t>
                                  </w:r>
                                  <w:r>
                                    <w:rPr>
                                      <w:rFonts w:hint="eastAsia" w:ascii="ＭＳ ゴシック" w:hAnsi="ＭＳ ゴシック" w:eastAsia="ＭＳ ゴシック"/>
                                      <w:sz w:val="20"/>
                                    </w:rPr>
                                    <w:t>（</w:t>
                                  </w:r>
                                  <w:r>
                                    <w:rPr>
                                      <w:rFonts w:hint="eastAsia" w:ascii="ＭＳ ゴシック" w:hAnsi="ＭＳ ゴシック" w:eastAsia="ＭＳ ゴシック"/>
                                      <w:sz w:val="20"/>
                                    </w:rPr>
                                    <w:t>7.5Y</w:t>
                                  </w:r>
                                  <w:r>
                                    <w:rPr>
                                      <w:rFonts w:hint="eastAsia" w:ascii="ＭＳ ゴシック" w:hAnsi="ＭＳ ゴシック" w:eastAsia="ＭＳ ゴシック"/>
                                      <w:sz w:val="20"/>
                                    </w:rPr>
                                    <w:t>は含まない）</w:t>
                                  </w:r>
                                </w:p>
                              </w:tc>
                              <w:tc>
                                <w:tcPr>
                                  <w:tcW w:w="2263"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2</w:t>
                                  </w:r>
                                  <w:r>
                                    <w:rPr>
                                      <w:rFonts w:hint="eastAsia" w:ascii="ＭＳ ゴシック" w:hAnsi="ＭＳ ゴシック" w:eastAsia="ＭＳ ゴシック"/>
                                      <w:sz w:val="20"/>
                                    </w:rPr>
                                    <w:t>を超え</w:t>
                                  </w:r>
                                  <w:r>
                                    <w:rPr>
                                      <w:rFonts w:hint="eastAsia" w:ascii="ＭＳ ゴシック" w:hAnsi="ＭＳ ゴシック" w:eastAsia="ＭＳ ゴシック"/>
                                      <w:sz w:val="20"/>
                                    </w:rPr>
                                    <w:t>8</w:t>
                                  </w:r>
                                  <w:r>
                                    <w:rPr>
                                      <w:rFonts w:hint="eastAsia" w:ascii="ＭＳ ゴシック" w:hAnsi="ＭＳ ゴシック" w:eastAsia="ＭＳ ゴシック"/>
                                      <w:sz w:val="20"/>
                                    </w:rPr>
                                    <w:t>未満</w:t>
                                  </w:r>
                                </w:p>
                              </w:tc>
                              <w:tc>
                                <w:tcPr>
                                  <w:tcW w:w="3158"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6</w:t>
                                  </w:r>
                                  <w:r>
                                    <w:rPr>
                                      <w:rFonts w:hint="eastAsia" w:ascii="ＭＳ ゴシック" w:hAnsi="ＭＳ ゴシック" w:eastAsia="ＭＳ ゴシック"/>
                                      <w:sz w:val="20"/>
                                    </w:rPr>
                                    <w:t>以下</w:t>
                                  </w:r>
                                </w:p>
                              </w:tc>
                            </w:tr>
                            <w:tr>
                              <w:trPr>
                                <w:trHeight w:val="169" w:hRule="atLeast"/>
                              </w:trPr>
                              <w:tc>
                                <w:tcPr>
                                  <w:tcW w:w="3509" w:type="dxa"/>
                                  <w:vMerge w:val="continue"/>
                                  <w:vAlign w:val="center"/>
                                </w:tcPr>
                                <w:p>
                                  <w:pPr>
                                    <w:pStyle w:val="0"/>
                                    <w:spacing w:before="39" w:beforeLines="10" w:beforeAutospacing="0" w:after="39" w:afterLines="10" w:afterAutospacing="0" w:line="280" w:lineRule="exact"/>
                                    <w:rPr>
                                      <w:rFonts w:hint="default" w:ascii="ＭＳ ゴシック" w:hAnsi="ＭＳ ゴシック" w:eastAsia="ＭＳ ゴシック"/>
                                      <w:sz w:val="20"/>
                                    </w:rPr>
                                  </w:pPr>
                                </w:p>
                              </w:tc>
                              <w:tc>
                                <w:tcPr>
                                  <w:tcW w:w="2263"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8</w:t>
                                  </w:r>
                                  <w:r>
                                    <w:rPr>
                                      <w:rFonts w:hint="eastAsia" w:ascii="ＭＳ ゴシック" w:hAnsi="ＭＳ ゴシック" w:eastAsia="ＭＳ ゴシック"/>
                                      <w:sz w:val="20"/>
                                    </w:rPr>
                                    <w:t>以上</w:t>
                                  </w:r>
                                  <w:r>
                                    <w:rPr>
                                      <w:rFonts w:hint="eastAsia" w:ascii="ＭＳ ゴシック" w:hAnsi="ＭＳ ゴシック" w:eastAsia="ＭＳ ゴシック"/>
                                      <w:sz w:val="20"/>
                                    </w:rPr>
                                    <w:t>9</w:t>
                                  </w:r>
                                  <w:r>
                                    <w:rPr>
                                      <w:rFonts w:hint="eastAsia" w:ascii="ＭＳ ゴシック" w:hAnsi="ＭＳ ゴシック" w:eastAsia="ＭＳ ゴシック"/>
                                      <w:sz w:val="20"/>
                                    </w:rPr>
                                    <w:t>未満</w:t>
                                  </w:r>
                                </w:p>
                              </w:tc>
                              <w:tc>
                                <w:tcPr>
                                  <w:tcW w:w="3158"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2</w:t>
                                  </w:r>
                                  <w:r>
                                    <w:rPr>
                                      <w:rFonts w:hint="eastAsia" w:ascii="ＭＳ ゴシック" w:hAnsi="ＭＳ ゴシック" w:eastAsia="ＭＳ ゴシック"/>
                                      <w:sz w:val="20"/>
                                    </w:rPr>
                                    <w:t>以下</w:t>
                                  </w:r>
                                </w:p>
                              </w:tc>
                            </w:tr>
                            <w:tr>
                              <w:trPr>
                                <w:trHeight w:val="217" w:hRule="atLeast"/>
                              </w:trPr>
                              <w:tc>
                                <w:tcPr>
                                  <w:tcW w:w="3509" w:type="dxa"/>
                                  <w:vMerge w:val="restart"/>
                                  <w:vAlign w:val="center"/>
                                </w:tcPr>
                                <w:p>
                                  <w:pPr>
                                    <w:pStyle w:val="0"/>
                                    <w:spacing w:before="39" w:beforeLines="10" w:beforeAutospacing="0" w:after="39" w:afterLines="10" w:afterAutospacing="0" w:line="280" w:lineRule="exact"/>
                                    <w:rPr>
                                      <w:rFonts w:hint="default" w:ascii="ＭＳ ゴシック" w:hAnsi="ＭＳ ゴシック" w:eastAsia="ＭＳ ゴシック"/>
                                      <w:sz w:val="20"/>
                                    </w:rPr>
                                  </w:pPr>
                                  <w:r>
                                    <w:rPr>
                                      <w:rFonts w:hint="eastAsia" w:ascii="ＭＳ ゴシック" w:hAnsi="ＭＳ ゴシック" w:eastAsia="ＭＳ ゴシック"/>
                                      <w:sz w:val="20"/>
                                    </w:rPr>
                                    <w:t>7.5Y</w:t>
                                  </w:r>
                                  <w:r>
                                    <w:rPr>
                                      <w:rFonts w:hint="eastAsia" w:ascii="ＭＳ ゴシック" w:hAnsi="ＭＳ ゴシック" w:eastAsia="ＭＳ ゴシック"/>
                                      <w:sz w:val="20"/>
                                    </w:rPr>
                                    <w:t>〜</w:t>
                                  </w:r>
                                  <w:r>
                                    <w:rPr>
                                      <w:rFonts w:hint="eastAsia" w:ascii="ＭＳ ゴシック" w:hAnsi="ＭＳ ゴシック" w:eastAsia="ＭＳ ゴシック"/>
                                      <w:sz w:val="20"/>
                                    </w:rPr>
                                    <w:t>7.5GY(7.5GY</w:t>
                                  </w:r>
                                  <w:r>
                                    <w:rPr>
                                      <w:rFonts w:hint="eastAsia" w:ascii="ＭＳ ゴシック" w:hAnsi="ＭＳ ゴシック" w:eastAsia="ＭＳ ゴシック"/>
                                      <w:sz w:val="20"/>
                                    </w:rPr>
                                    <w:t>は含まない</w:t>
                                  </w:r>
                                  <w:r>
                                    <w:rPr>
                                      <w:rFonts w:hint="eastAsia" w:ascii="ＭＳ ゴシック" w:hAnsi="ＭＳ ゴシック" w:eastAsia="ＭＳ ゴシック"/>
                                      <w:sz w:val="20"/>
                                    </w:rPr>
                                    <w:t>)</w:t>
                                  </w:r>
                                </w:p>
                              </w:tc>
                              <w:tc>
                                <w:tcPr>
                                  <w:tcW w:w="2263"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2</w:t>
                                  </w:r>
                                  <w:r>
                                    <w:rPr>
                                      <w:rFonts w:hint="eastAsia" w:ascii="ＭＳ ゴシック" w:hAnsi="ＭＳ ゴシック" w:eastAsia="ＭＳ ゴシック"/>
                                      <w:sz w:val="20"/>
                                    </w:rPr>
                                    <w:t>を超え</w:t>
                                  </w:r>
                                  <w:r>
                                    <w:rPr>
                                      <w:rFonts w:hint="eastAsia" w:ascii="ＭＳ ゴシック" w:hAnsi="ＭＳ ゴシック" w:eastAsia="ＭＳ ゴシック"/>
                                      <w:sz w:val="20"/>
                                    </w:rPr>
                                    <w:t>8</w:t>
                                  </w:r>
                                  <w:r>
                                    <w:rPr>
                                      <w:rFonts w:hint="eastAsia" w:ascii="ＭＳ ゴシック" w:hAnsi="ＭＳ ゴシック" w:eastAsia="ＭＳ ゴシック"/>
                                      <w:sz w:val="20"/>
                                    </w:rPr>
                                    <w:t>未満</w:t>
                                  </w:r>
                                </w:p>
                              </w:tc>
                              <w:tc>
                                <w:tcPr>
                                  <w:tcW w:w="3158"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4</w:t>
                                  </w:r>
                                  <w:r>
                                    <w:rPr>
                                      <w:rFonts w:hint="eastAsia" w:ascii="ＭＳ ゴシック" w:hAnsi="ＭＳ ゴシック" w:eastAsia="ＭＳ ゴシック"/>
                                      <w:sz w:val="20"/>
                                    </w:rPr>
                                    <w:t>以下</w:t>
                                  </w:r>
                                </w:p>
                              </w:tc>
                            </w:tr>
                            <w:tr>
                              <w:trPr>
                                <w:trHeight w:val="203" w:hRule="atLeast"/>
                              </w:trPr>
                              <w:tc>
                                <w:tcPr>
                                  <w:tcW w:w="3509" w:type="dxa"/>
                                  <w:vMerge w:val="continue"/>
                                  <w:vAlign w:val="center"/>
                                </w:tcPr>
                                <w:p>
                                  <w:pPr>
                                    <w:pStyle w:val="0"/>
                                    <w:spacing w:before="39" w:beforeLines="10" w:beforeAutospacing="0" w:after="39" w:afterLines="10" w:afterAutospacing="0" w:line="280" w:lineRule="exact"/>
                                    <w:rPr>
                                      <w:rFonts w:hint="default" w:ascii="ＭＳ ゴシック" w:hAnsi="ＭＳ ゴシック" w:eastAsia="ＭＳ ゴシック"/>
                                      <w:sz w:val="20"/>
                                    </w:rPr>
                                  </w:pPr>
                                </w:p>
                              </w:tc>
                              <w:tc>
                                <w:tcPr>
                                  <w:tcW w:w="2263"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8</w:t>
                                  </w:r>
                                  <w:r>
                                    <w:rPr>
                                      <w:rFonts w:hint="eastAsia" w:ascii="ＭＳ ゴシック" w:hAnsi="ＭＳ ゴシック" w:eastAsia="ＭＳ ゴシック"/>
                                      <w:sz w:val="20"/>
                                    </w:rPr>
                                    <w:t>以上</w:t>
                                  </w:r>
                                  <w:r>
                                    <w:rPr>
                                      <w:rFonts w:hint="eastAsia" w:ascii="ＭＳ ゴシック" w:hAnsi="ＭＳ ゴシック" w:eastAsia="ＭＳ ゴシック"/>
                                      <w:sz w:val="20"/>
                                    </w:rPr>
                                    <w:t>9</w:t>
                                  </w:r>
                                  <w:r>
                                    <w:rPr>
                                      <w:rFonts w:hint="eastAsia" w:ascii="ＭＳ ゴシック" w:hAnsi="ＭＳ ゴシック" w:eastAsia="ＭＳ ゴシック"/>
                                      <w:sz w:val="20"/>
                                    </w:rPr>
                                    <w:t>未満</w:t>
                                  </w:r>
                                </w:p>
                              </w:tc>
                              <w:tc>
                                <w:tcPr>
                                  <w:tcW w:w="3158"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2</w:t>
                                  </w:r>
                                  <w:r>
                                    <w:rPr>
                                      <w:rFonts w:hint="eastAsia" w:ascii="ＭＳ ゴシック" w:hAnsi="ＭＳ ゴシック" w:eastAsia="ＭＳ ゴシック"/>
                                      <w:sz w:val="20"/>
                                    </w:rPr>
                                    <w:t>以下</w:t>
                                  </w:r>
                                </w:p>
                              </w:tc>
                            </w:tr>
                            <w:tr>
                              <w:trPr>
                                <w:trHeight w:val="176" w:hRule="atLeast"/>
                              </w:trPr>
                              <w:tc>
                                <w:tcPr>
                                  <w:tcW w:w="3509" w:type="dxa"/>
                                  <w:vAlign w:val="center"/>
                                </w:tcPr>
                                <w:p>
                                  <w:pPr>
                                    <w:pStyle w:val="0"/>
                                    <w:spacing w:before="39" w:beforeLines="10" w:beforeAutospacing="0" w:after="39" w:afterLines="10" w:afterAutospacing="0" w:line="280" w:lineRule="exact"/>
                                    <w:rPr>
                                      <w:rFonts w:hint="default" w:ascii="ＭＳ ゴシック" w:hAnsi="ＭＳ ゴシック" w:eastAsia="ＭＳ ゴシック"/>
                                      <w:sz w:val="20"/>
                                    </w:rPr>
                                  </w:pPr>
                                  <w:r>
                                    <w:rPr>
                                      <w:rFonts w:hint="eastAsia" w:ascii="ＭＳ ゴシック" w:hAnsi="ＭＳ ゴシック" w:eastAsia="ＭＳ ゴシック"/>
                                      <w:sz w:val="20"/>
                                    </w:rPr>
                                    <w:t>7.5GY</w:t>
                                  </w:r>
                                  <w:r>
                                    <w:rPr>
                                      <w:rFonts w:hint="eastAsia" w:ascii="ＭＳ ゴシック" w:hAnsi="ＭＳ ゴシック" w:eastAsia="ＭＳ ゴシック"/>
                                      <w:sz w:val="20"/>
                                    </w:rPr>
                                    <w:t>〜</w:t>
                                  </w:r>
                                  <w:r>
                                    <w:rPr>
                                      <w:rFonts w:hint="eastAsia" w:ascii="ＭＳ ゴシック" w:hAnsi="ＭＳ ゴシック" w:eastAsia="ＭＳ ゴシック"/>
                                      <w:sz w:val="20"/>
                                    </w:rPr>
                                    <w:t>7.5RP(7.5RP</w:t>
                                  </w:r>
                                  <w:r>
                                    <w:rPr>
                                      <w:rFonts w:hint="eastAsia" w:ascii="ＭＳ ゴシック" w:hAnsi="ＭＳ ゴシック" w:eastAsia="ＭＳ ゴシック"/>
                                      <w:sz w:val="20"/>
                                    </w:rPr>
                                    <w:t>は含まない</w:t>
                                  </w:r>
                                  <w:r>
                                    <w:rPr>
                                      <w:rFonts w:hint="eastAsia" w:ascii="ＭＳ ゴシック" w:hAnsi="ＭＳ ゴシック" w:eastAsia="ＭＳ ゴシック"/>
                                      <w:sz w:val="20"/>
                                    </w:rPr>
                                    <w:t>)</w:t>
                                  </w:r>
                                </w:p>
                              </w:tc>
                              <w:tc>
                                <w:tcPr>
                                  <w:tcW w:w="2263"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2</w:t>
                                  </w:r>
                                  <w:r>
                                    <w:rPr>
                                      <w:rFonts w:hint="eastAsia" w:ascii="ＭＳ ゴシック" w:hAnsi="ＭＳ ゴシック" w:eastAsia="ＭＳ ゴシック"/>
                                      <w:sz w:val="20"/>
                                    </w:rPr>
                                    <w:t>を超え</w:t>
                                  </w:r>
                                  <w:r>
                                    <w:rPr>
                                      <w:rFonts w:hint="eastAsia" w:ascii="ＭＳ ゴシック" w:hAnsi="ＭＳ ゴシック" w:eastAsia="ＭＳ ゴシック"/>
                                      <w:sz w:val="20"/>
                                    </w:rPr>
                                    <w:t>8</w:t>
                                  </w:r>
                                  <w:r>
                                    <w:rPr>
                                      <w:rFonts w:hint="eastAsia" w:ascii="ＭＳ ゴシック" w:hAnsi="ＭＳ ゴシック" w:eastAsia="ＭＳ ゴシック"/>
                                      <w:sz w:val="20"/>
                                    </w:rPr>
                                    <w:t>未満</w:t>
                                  </w:r>
                                </w:p>
                              </w:tc>
                              <w:tc>
                                <w:tcPr>
                                  <w:tcW w:w="3158"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2</w:t>
                                  </w:r>
                                  <w:r>
                                    <w:rPr>
                                      <w:rFonts w:hint="eastAsia" w:ascii="ＭＳ ゴシック" w:hAnsi="ＭＳ ゴシック" w:eastAsia="ＭＳ ゴシック"/>
                                      <w:sz w:val="20"/>
                                    </w:rPr>
                                    <w:t>以下</w:t>
                                  </w:r>
                                </w:p>
                              </w:tc>
                            </w:tr>
                            <w:tr>
                              <w:trPr>
                                <w:trHeight w:val="190" w:hRule="atLeast"/>
                              </w:trPr>
                              <w:tc>
                                <w:tcPr>
                                  <w:tcW w:w="3509" w:type="dxa"/>
                                  <w:vMerge w:val="restart"/>
                                  <w:vAlign w:val="center"/>
                                </w:tcPr>
                                <w:p>
                                  <w:pPr>
                                    <w:pStyle w:val="0"/>
                                    <w:spacing w:before="39" w:beforeLines="10" w:beforeAutospacing="0" w:after="39" w:afterLines="10" w:afterAutospacing="0" w:line="280" w:lineRule="exact"/>
                                    <w:rPr>
                                      <w:rFonts w:hint="default" w:ascii="ＭＳ ゴシック" w:hAnsi="ＭＳ ゴシック" w:eastAsia="ＭＳ ゴシック"/>
                                      <w:sz w:val="20"/>
                                    </w:rPr>
                                  </w:pPr>
                                  <w:r>
                                    <w:rPr>
                                      <w:rFonts w:hint="eastAsia" w:ascii="ＭＳ ゴシック" w:hAnsi="ＭＳ ゴシック" w:eastAsia="ＭＳ ゴシック"/>
                                      <w:sz w:val="20"/>
                                    </w:rPr>
                                    <w:t>7.5RP</w:t>
                                  </w:r>
                                  <w:r>
                                    <w:rPr>
                                      <w:rFonts w:hint="eastAsia" w:ascii="ＭＳ ゴシック" w:hAnsi="ＭＳ ゴシック" w:eastAsia="ＭＳ ゴシック"/>
                                      <w:sz w:val="20"/>
                                    </w:rPr>
                                    <w:t>〜</w:t>
                                  </w:r>
                                  <w:r>
                                    <w:rPr>
                                      <w:rFonts w:hint="eastAsia" w:ascii="ＭＳ ゴシック" w:hAnsi="ＭＳ ゴシック" w:eastAsia="ＭＳ ゴシック"/>
                                      <w:sz w:val="20"/>
                                    </w:rPr>
                                    <w:t>7.5R(7.5R</w:t>
                                  </w:r>
                                  <w:r>
                                    <w:rPr>
                                      <w:rFonts w:hint="eastAsia" w:ascii="ＭＳ ゴシック" w:hAnsi="ＭＳ ゴシック" w:eastAsia="ＭＳ ゴシック"/>
                                      <w:sz w:val="20"/>
                                    </w:rPr>
                                    <w:t>は含まない</w:t>
                                  </w:r>
                                  <w:r>
                                    <w:rPr>
                                      <w:rFonts w:hint="eastAsia" w:ascii="ＭＳ ゴシック" w:hAnsi="ＭＳ ゴシック" w:eastAsia="ＭＳ ゴシック"/>
                                      <w:sz w:val="20"/>
                                    </w:rPr>
                                    <w:t>)</w:t>
                                  </w:r>
                                </w:p>
                              </w:tc>
                              <w:tc>
                                <w:tcPr>
                                  <w:tcW w:w="2263"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2</w:t>
                                  </w:r>
                                  <w:r>
                                    <w:rPr>
                                      <w:rFonts w:hint="eastAsia" w:ascii="ＭＳ ゴシック" w:hAnsi="ＭＳ ゴシック" w:eastAsia="ＭＳ ゴシック"/>
                                      <w:sz w:val="20"/>
                                    </w:rPr>
                                    <w:t>を超え</w:t>
                                  </w:r>
                                  <w:r>
                                    <w:rPr>
                                      <w:rFonts w:hint="eastAsia" w:ascii="ＭＳ ゴシック" w:hAnsi="ＭＳ ゴシック" w:eastAsia="ＭＳ ゴシック"/>
                                      <w:sz w:val="20"/>
                                    </w:rPr>
                                    <w:t>8</w:t>
                                  </w:r>
                                  <w:r>
                                    <w:rPr>
                                      <w:rFonts w:hint="eastAsia" w:ascii="ＭＳ ゴシック" w:hAnsi="ＭＳ ゴシック" w:eastAsia="ＭＳ ゴシック"/>
                                      <w:sz w:val="20"/>
                                    </w:rPr>
                                    <w:t>未満</w:t>
                                  </w:r>
                                </w:p>
                              </w:tc>
                              <w:tc>
                                <w:tcPr>
                                  <w:tcW w:w="3158"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4</w:t>
                                  </w:r>
                                  <w:r>
                                    <w:rPr>
                                      <w:rFonts w:hint="eastAsia" w:ascii="ＭＳ ゴシック" w:hAnsi="ＭＳ ゴシック" w:eastAsia="ＭＳ ゴシック"/>
                                      <w:sz w:val="20"/>
                                    </w:rPr>
                                    <w:t>以下</w:t>
                                  </w:r>
                                </w:p>
                              </w:tc>
                            </w:tr>
                            <w:tr>
                              <w:trPr>
                                <w:trHeight w:val="156" w:hRule="atLeast"/>
                              </w:trPr>
                              <w:tc>
                                <w:tcPr>
                                  <w:tcW w:w="3509" w:type="dxa"/>
                                  <w:vMerge w:val="continue"/>
                                  <w:vAlign w:val="center"/>
                                </w:tcPr>
                                <w:p>
                                  <w:pPr>
                                    <w:pStyle w:val="0"/>
                                    <w:spacing w:before="39" w:beforeLines="10" w:beforeAutospacing="0" w:after="39" w:afterLines="10" w:afterAutospacing="0" w:line="280" w:lineRule="exact"/>
                                    <w:rPr>
                                      <w:rFonts w:hint="default" w:ascii="ＭＳ ゴシック" w:hAnsi="ＭＳ ゴシック" w:eastAsia="ＭＳ ゴシック"/>
                                      <w:sz w:val="20"/>
                                    </w:rPr>
                                  </w:pPr>
                                </w:p>
                              </w:tc>
                              <w:tc>
                                <w:tcPr>
                                  <w:tcW w:w="2263"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8</w:t>
                                  </w:r>
                                  <w:r>
                                    <w:rPr>
                                      <w:rFonts w:hint="eastAsia" w:ascii="ＭＳ ゴシック" w:hAnsi="ＭＳ ゴシック" w:eastAsia="ＭＳ ゴシック"/>
                                      <w:sz w:val="20"/>
                                    </w:rPr>
                                    <w:t>以上</w:t>
                                  </w:r>
                                  <w:r>
                                    <w:rPr>
                                      <w:rFonts w:hint="eastAsia" w:ascii="ＭＳ ゴシック" w:hAnsi="ＭＳ ゴシック" w:eastAsia="ＭＳ ゴシック"/>
                                      <w:sz w:val="20"/>
                                    </w:rPr>
                                    <w:t>9</w:t>
                                  </w:r>
                                  <w:r>
                                    <w:rPr>
                                      <w:rFonts w:hint="eastAsia" w:ascii="ＭＳ ゴシック" w:hAnsi="ＭＳ ゴシック" w:eastAsia="ＭＳ ゴシック"/>
                                      <w:sz w:val="20"/>
                                    </w:rPr>
                                    <w:t>未満</w:t>
                                  </w:r>
                                </w:p>
                              </w:tc>
                              <w:tc>
                                <w:tcPr>
                                  <w:tcW w:w="3158"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2</w:t>
                                  </w:r>
                                  <w:r>
                                    <w:rPr>
                                      <w:rFonts w:hint="eastAsia" w:ascii="ＭＳ ゴシック" w:hAnsi="ＭＳ ゴシック" w:eastAsia="ＭＳ ゴシック"/>
                                      <w:sz w:val="20"/>
                                    </w:rPr>
                                    <w:t>以下</w:t>
                                  </w:r>
                                </w:p>
                              </w:tc>
                            </w:tr>
                          </w:tbl>
                          <w:p>
                            <w:pPr>
                              <w:pStyle w:val="0"/>
                              <w:rPr>
                                <w:rFonts w:hint="default"/>
                                <w:sz w:val="2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06" style="mso-wrap-distance-right:9pt;mso-wrap-distance-bottom:0pt;margin-top:11pt;mso-position-vertical-relative:text;mso-position-horizontal-relative:text;v-text-anchor:top;position:absolute;height:210.8pt;mso-wrap-distance-top:0pt;width:499.9pt;mso-wrap-distance-left:9pt;margin-left:-17.850000000000001pt;z-index:2;" o:spid="_x0000_s1026" o:allowincell="t" o:allowoverlap="t" filled="f" stroked="f" o:spt="202" type="#_x0000_t202">
                <v:fill/>
                <v:textbox style="layout-flow:horizontal;" inset="2.5399999999999996mm,1.2699999999999998mm,2.5399999999999996mm,1.2699999999999998mm">
                  <w:txbxContent>
                    <w:p>
                      <w:pPr>
                        <w:pStyle w:val="0"/>
                        <w:ind w:firstLine="400" w:firstLineChars="200"/>
                        <w:rPr>
                          <w:rFonts w:hint="default" w:asciiTheme="majorEastAsia" w:hAnsiTheme="majorEastAsia" w:eastAsiaTheme="majorEastAsia"/>
                          <w:sz w:val="20"/>
                        </w:rPr>
                      </w:pPr>
                      <w:r>
                        <w:rPr>
                          <w:rFonts w:hint="eastAsia" w:asciiTheme="majorEastAsia" w:hAnsiTheme="majorEastAsia" w:eastAsiaTheme="majorEastAsia"/>
                          <w:sz w:val="20"/>
                        </w:rPr>
                        <w:t>＜表</w:t>
                      </w:r>
                      <w:r>
                        <w:rPr>
                          <w:rFonts w:hint="default" w:asciiTheme="majorEastAsia" w:hAnsiTheme="majorEastAsia" w:eastAsiaTheme="majorEastAsia"/>
                          <w:sz w:val="20"/>
                        </w:rPr>
                        <w:t>１　</w:t>
                      </w:r>
                      <w:r>
                        <w:rPr>
                          <w:rFonts w:hint="eastAsia" w:asciiTheme="majorEastAsia" w:hAnsiTheme="majorEastAsia" w:eastAsiaTheme="majorEastAsia"/>
                          <w:sz w:val="20"/>
                        </w:rPr>
                        <w:t>川越十ヵ町地区の色彩の</w:t>
                      </w:r>
                      <w:r>
                        <w:rPr>
                          <w:rFonts w:hint="default" w:asciiTheme="majorEastAsia" w:hAnsiTheme="majorEastAsia" w:eastAsiaTheme="majorEastAsia"/>
                          <w:sz w:val="20"/>
                        </w:rPr>
                        <w:t>範囲</w:t>
                      </w:r>
                      <w:r>
                        <w:rPr>
                          <w:rFonts w:hint="eastAsia" w:asciiTheme="majorEastAsia" w:hAnsiTheme="majorEastAsia" w:eastAsiaTheme="majorEastAsia"/>
                          <w:sz w:val="20"/>
                        </w:rPr>
                        <w:t>＞</w:t>
                      </w:r>
                    </w:p>
                    <w:p>
                      <w:pPr>
                        <w:pStyle w:val="0"/>
                        <w:ind w:firstLine="400" w:firstLineChars="200"/>
                        <w:rPr>
                          <w:rFonts w:hint="default" w:asciiTheme="majorEastAsia" w:hAnsiTheme="majorEastAsia" w:eastAsiaTheme="majorEastAsia"/>
                          <w:sz w:val="20"/>
                        </w:rPr>
                      </w:pPr>
                      <w:r>
                        <w:rPr>
                          <w:rFonts w:hint="eastAsia" w:asciiTheme="majorEastAsia" w:hAnsiTheme="majorEastAsia" w:eastAsiaTheme="majorEastAsia"/>
                          <w:sz w:val="20"/>
                        </w:rPr>
                        <w:t>（数値はマンセル表色法によるマンセル値）</w:t>
                      </w:r>
                    </w:p>
                    <w:tbl>
                      <w:tblPr>
                        <w:tblStyle w:val="11"/>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09"/>
                        <w:gridCol w:w="2263"/>
                        <w:gridCol w:w="3158"/>
                      </w:tblGrid>
                      <w:tr>
                        <w:trPr/>
                        <w:tc>
                          <w:tcPr>
                            <w:tcW w:w="3509" w:type="dxa"/>
                            <w:vAlign w:val="top"/>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色相</w:t>
                            </w:r>
                          </w:p>
                        </w:tc>
                        <w:tc>
                          <w:tcPr>
                            <w:tcW w:w="2263" w:type="dxa"/>
                            <w:vAlign w:val="top"/>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明度</w:t>
                            </w:r>
                          </w:p>
                        </w:tc>
                        <w:tc>
                          <w:tcPr>
                            <w:tcW w:w="3158" w:type="dxa"/>
                            <w:vAlign w:val="top"/>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彩度</w:t>
                            </w:r>
                          </w:p>
                        </w:tc>
                      </w:tr>
                      <w:tr>
                        <w:trPr>
                          <w:trHeight w:val="203" w:hRule="atLeast"/>
                        </w:trPr>
                        <w:tc>
                          <w:tcPr>
                            <w:tcW w:w="3509" w:type="dxa"/>
                            <w:vMerge w:val="restart"/>
                            <w:vAlign w:val="center"/>
                          </w:tcPr>
                          <w:p>
                            <w:pPr>
                              <w:pStyle w:val="0"/>
                              <w:spacing w:before="39" w:beforeLines="10" w:beforeAutospacing="0" w:after="39" w:afterLines="10" w:afterAutospacing="0" w:line="280" w:lineRule="exact"/>
                              <w:rPr>
                                <w:rFonts w:hint="default" w:ascii="ＭＳ ゴシック" w:hAnsi="ＭＳ ゴシック" w:eastAsia="ＭＳ ゴシック"/>
                                <w:sz w:val="20"/>
                              </w:rPr>
                            </w:pPr>
                            <w:r>
                              <w:rPr>
                                <w:rFonts w:hint="eastAsia" w:ascii="ＭＳ ゴシック" w:hAnsi="ＭＳ ゴシック" w:eastAsia="ＭＳ ゴシック"/>
                                <w:sz w:val="20"/>
                              </w:rPr>
                              <w:t>7.5R</w:t>
                            </w:r>
                            <w:r>
                              <w:rPr>
                                <w:rFonts w:hint="eastAsia" w:ascii="ＭＳ ゴシック" w:hAnsi="ＭＳ ゴシック" w:eastAsia="ＭＳ ゴシック"/>
                                <w:sz w:val="20"/>
                              </w:rPr>
                              <w:t>〜</w:t>
                            </w:r>
                            <w:r>
                              <w:rPr>
                                <w:rFonts w:hint="eastAsia" w:ascii="ＭＳ ゴシック" w:hAnsi="ＭＳ ゴシック" w:eastAsia="ＭＳ ゴシック"/>
                                <w:sz w:val="20"/>
                              </w:rPr>
                              <w:t>7.5Y</w:t>
                            </w:r>
                            <w:r>
                              <w:rPr>
                                <w:rFonts w:hint="eastAsia" w:ascii="ＭＳ ゴシック" w:hAnsi="ＭＳ ゴシック" w:eastAsia="ＭＳ ゴシック"/>
                                <w:sz w:val="20"/>
                              </w:rPr>
                              <w:t>（</w:t>
                            </w:r>
                            <w:r>
                              <w:rPr>
                                <w:rFonts w:hint="eastAsia" w:ascii="ＭＳ ゴシック" w:hAnsi="ＭＳ ゴシック" w:eastAsia="ＭＳ ゴシック"/>
                                <w:sz w:val="20"/>
                              </w:rPr>
                              <w:t>7.5Y</w:t>
                            </w:r>
                            <w:r>
                              <w:rPr>
                                <w:rFonts w:hint="eastAsia" w:ascii="ＭＳ ゴシック" w:hAnsi="ＭＳ ゴシック" w:eastAsia="ＭＳ ゴシック"/>
                                <w:sz w:val="20"/>
                              </w:rPr>
                              <w:t>は含まない）</w:t>
                            </w:r>
                          </w:p>
                        </w:tc>
                        <w:tc>
                          <w:tcPr>
                            <w:tcW w:w="2263"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2</w:t>
                            </w:r>
                            <w:r>
                              <w:rPr>
                                <w:rFonts w:hint="eastAsia" w:ascii="ＭＳ ゴシック" w:hAnsi="ＭＳ ゴシック" w:eastAsia="ＭＳ ゴシック"/>
                                <w:sz w:val="20"/>
                              </w:rPr>
                              <w:t>を超え</w:t>
                            </w:r>
                            <w:r>
                              <w:rPr>
                                <w:rFonts w:hint="eastAsia" w:ascii="ＭＳ ゴシック" w:hAnsi="ＭＳ ゴシック" w:eastAsia="ＭＳ ゴシック"/>
                                <w:sz w:val="20"/>
                              </w:rPr>
                              <w:t>8</w:t>
                            </w:r>
                            <w:r>
                              <w:rPr>
                                <w:rFonts w:hint="eastAsia" w:ascii="ＭＳ ゴシック" w:hAnsi="ＭＳ ゴシック" w:eastAsia="ＭＳ ゴシック"/>
                                <w:sz w:val="20"/>
                              </w:rPr>
                              <w:t>未満</w:t>
                            </w:r>
                          </w:p>
                        </w:tc>
                        <w:tc>
                          <w:tcPr>
                            <w:tcW w:w="3158"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6</w:t>
                            </w:r>
                            <w:r>
                              <w:rPr>
                                <w:rFonts w:hint="eastAsia" w:ascii="ＭＳ ゴシック" w:hAnsi="ＭＳ ゴシック" w:eastAsia="ＭＳ ゴシック"/>
                                <w:sz w:val="20"/>
                              </w:rPr>
                              <w:t>以下</w:t>
                            </w:r>
                          </w:p>
                        </w:tc>
                      </w:tr>
                      <w:tr>
                        <w:trPr>
                          <w:trHeight w:val="169" w:hRule="atLeast"/>
                        </w:trPr>
                        <w:tc>
                          <w:tcPr>
                            <w:tcW w:w="3509" w:type="dxa"/>
                            <w:vMerge w:val="continue"/>
                            <w:vAlign w:val="center"/>
                          </w:tcPr>
                          <w:p>
                            <w:pPr>
                              <w:pStyle w:val="0"/>
                              <w:spacing w:before="39" w:beforeLines="10" w:beforeAutospacing="0" w:after="39" w:afterLines="10" w:afterAutospacing="0" w:line="280" w:lineRule="exact"/>
                              <w:rPr>
                                <w:rFonts w:hint="default" w:ascii="ＭＳ ゴシック" w:hAnsi="ＭＳ ゴシック" w:eastAsia="ＭＳ ゴシック"/>
                                <w:sz w:val="20"/>
                              </w:rPr>
                            </w:pPr>
                          </w:p>
                        </w:tc>
                        <w:tc>
                          <w:tcPr>
                            <w:tcW w:w="2263"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8</w:t>
                            </w:r>
                            <w:r>
                              <w:rPr>
                                <w:rFonts w:hint="eastAsia" w:ascii="ＭＳ ゴシック" w:hAnsi="ＭＳ ゴシック" w:eastAsia="ＭＳ ゴシック"/>
                                <w:sz w:val="20"/>
                              </w:rPr>
                              <w:t>以上</w:t>
                            </w:r>
                            <w:r>
                              <w:rPr>
                                <w:rFonts w:hint="eastAsia" w:ascii="ＭＳ ゴシック" w:hAnsi="ＭＳ ゴシック" w:eastAsia="ＭＳ ゴシック"/>
                                <w:sz w:val="20"/>
                              </w:rPr>
                              <w:t>9</w:t>
                            </w:r>
                            <w:r>
                              <w:rPr>
                                <w:rFonts w:hint="eastAsia" w:ascii="ＭＳ ゴシック" w:hAnsi="ＭＳ ゴシック" w:eastAsia="ＭＳ ゴシック"/>
                                <w:sz w:val="20"/>
                              </w:rPr>
                              <w:t>未満</w:t>
                            </w:r>
                          </w:p>
                        </w:tc>
                        <w:tc>
                          <w:tcPr>
                            <w:tcW w:w="3158"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2</w:t>
                            </w:r>
                            <w:r>
                              <w:rPr>
                                <w:rFonts w:hint="eastAsia" w:ascii="ＭＳ ゴシック" w:hAnsi="ＭＳ ゴシック" w:eastAsia="ＭＳ ゴシック"/>
                                <w:sz w:val="20"/>
                              </w:rPr>
                              <w:t>以下</w:t>
                            </w:r>
                          </w:p>
                        </w:tc>
                      </w:tr>
                      <w:tr>
                        <w:trPr>
                          <w:trHeight w:val="217" w:hRule="atLeast"/>
                        </w:trPr>
                        <w:tc>
                          <w:tcPr>
                            <w:tcW w:w="3509" w:type="dxa"/>
                            <w:vMerge w:val="restart"/>
                            <w:vAlign w:val="center"/>
                          </w:tcPr>
                          <w:p>
                            <w:pPr>
                              <w:pStyle w:val="0"/>
                              <w:spacing w:before="39" w:beforeLines="10" w:beforeAutospacing="0" w:after="39" w:afterLines="10" w:afterAutospacing="0" w:line="280" w:lineRule="exact"/>
                              <w:rPr>
                                <w:rFonts w:hint="default" w:ascii="ＭＳ ゴシック" w:hAnsi="ＭＳ ゴシック" w:eastAsia="ＭＳ ゴシック"/>
                                <w:sz w:val="20"/>
                              </w:rPr>
                            </w:pPr>
                            <w:r>
                              <w:rPr>
                                <w:rFonts w:hint="eastAsia" w:ascii="ＭＳ ゴシック" w:hAnsi="ＭＳ ゴシック" w:eastAsia="ＭＳ ゴシック"/>
                                <w:sz w:val="20"/>
                              </w:rPr>
                              <w:t>7.5Y</w:t>
                            </w:r>
                            <w:r>
                              <w:rPr>
                                <w:rFonts w:hint="eastAsia" w:ascii="ＭＳ ゴシック" w:hAnsi="ＭＳ ゴシック" w:eastAsia="ＭＳ ゴシック"/>
                                <w:sz w:val="20"/>
                              </w:rPr>
                              <w:t>〜</w:t>
                            </w:r>
                            <w:r>
                              <w:rPr>
                                <w:rFonts w:hint="eastAsia" w:ascii="ＭＳ ゴシック" w:hAnsi="ＭＳ ゴシック" w:eastAsia="ＭＳ ゴシック"/>
                                <w:sz w:val="20"/>
                              </w:rPr>
                              <w:t>7.5GY(7.5GY</w:t>
                            </w:r>
                            <w:r>
                              <w:rPr>
                                <w:rFonts w:hint="eastAsia" w:ascii="ＭＳ ゴシック" w:hAnsi="ＭＳ ゴシック" w:eastAsia="ＭＳ ゴシック"/>
                                <w:sz w:val="20"/>
                              </w:rPr>
                              <w:t>は含まない</w:t>
                            </w:r>
                            <w:r>
                              <w:rPr>
                                <w:rFonts w:hint="eastAsia" w:ascii="ＭＳ ゴシック" w:hAnsi="ＭＳ ゴシック" w:eastAsia="ＭＳ ゴシック"/>
                                <w:sz w:val="20"/>
                              </w:rPr>
                              <w:t>)</w:t>
                            </w:r>
                          </w:p>
                        </w:tc>
                        <w:tc>
                          <w:tcPr>
                            <w:tcW w:w="2263"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2</w:t>
                            </w:r>
                            <w:r>
                              <w:rPr>
                                <w:rFonts w:hint="eastAsia" w:ascii="ＭＳ ゴシック" w:hAnsi="ＭＳ ゴシック" w:eastAsia="ＭＳ ゴシック"/>
                                <w:sz w:val="20"/>
                              </w:rPr>
                              <w:t>を超え</w:t>
                            </w:r>
                            <w:r>
                              <w:rPr>
                                <w:rFonts w:hint="eastAsia" w:ascii="ＭＳ ゴシック" w:hAnsi="ＭＳ ゴシック" w:eastAsia="ＭＳ ゴシック"/>
                                <w:sz w:val="20"/>
                              </w:rPr>
                              <w:t>8</w:t>
                            </w:r>
                            <w:r>
                              <w:rPr>
                                <w:rFonts w:hint="eastAsia" w:ascii="ＭＳ ゴシック" w:hAnsi="ＭＳ ゴシック" w:eastAsia="ＭＳ ゴシック"/>
                                <w:sz w:val="20"/>
                              </w:rPr>
                              <w:t>未満</w:t>
                            </w:r>
                          </w:p>
                        </w:tc>
                        <w:tc>
                          <w:tcPr>
                            <w:tcW w:w="3158"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4</w:t>
                            </w:r>
                            <w:r>
                              <w:rPr>
                                <w:rFonts w:hint="eastAsia" w:ascii="ＭＳ ゴシック" w:hAnsi="ＭＳ ゴシック" w:eastAsia="ＭＳ ゴシック"/>
                                <w:sz w:val="20"/>
                              </w:rPr>
                              <w:t>以下</w:t>
                            </w:r>
                          </w:p>
                        </w:tc>
                      </w:tr>
                      <w:tr>
                        <w:trPr>
                          <w:trHeight w:val="203" w:hRule="atLeast"/>
                        </w:trPr>
                        <w:tc>
                          <w:tcPr>
                            <w:tcW w:w="3509" w:type="dxa"/>
                            <w:vMerge w:val="continue"/>
                            <w:vAlign w:val="center"/>
                          </w:tcPr>
                          <w:p>
                            <w:pPr>
                              <w:pStyle w:val="0"/>
                              <w:spacing w:before="39" w:beforeLines="10" w:beforeAutospacing="0" w:after="39" w:afterLines="10" w:afterAutospacing="0" w:line="280" w:lineRule="exact"/>
                              <w:rPr>
                                <w:rFonts w:hint="default" w:ascii="ＭＳ ゴシック" w:hAnsi="ＭＳ ゴシック" w:eastAsia="ＭＳ ゴシック"/>
                                <w:sz w:val="20"/>
                              </w:rPr>
                            </w:pPr>
                          </w:p>
                        </w:tc>
                        <w:tc>
                          <w:tcPr>
                            <w:tcW w:w="2263"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8</w:t>
                            </w:r>
                            <w:r>
                              <w:rPr>
                                <w:rFonts w:hint="eastAsia" w:ascii="ＭＳ ゴシック" w:hAnsi="ＭＳ ゴシック" w:eastAsia="ＭＳ ゴシック"/>
                                <w:sz w:val="20"/>
                              </w:rPr>
                              <w:t>以上</w:t>
                            </w:r>
                            <w:r>
                              <w:rPr>
                                <w:rFonts w:hint="eastAsia" w:ascii="ＭＳ ゴシック" w:hAnsi="ＭＳ ゴシック" w:eastAsia="ＭＳ ゴシック"/>
                                <w:sz w:val="20"/>
                              </w:rPr>
                              <w:t>9</w:t>
                            </w:r>
                            <w:r>
                              <w:rPr>
                                <w:rFonts w:hint="eastAsia" w:ascii="ＭＳ ゴシック" w:hAnsi="ＭＳ ゴシック" w:eastAsia="ＭＳ ゴシック"/>
                                <w:sz w:val="20"/>
                              </w:rPr>
                              <w:t>未満</w:t>
                            </w:r>
                          </w:p>
                        </w:tc>
                        <w:tc>
                          <w:tcPr>
                            <w:tcW w:w="3158"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2</w:t>
                            </w:r>
                            <w:r>
                              <w:rPr>
                                <w:rFonts w:hint="eastAsia" w:ascii="ＭＳ ゴシック" w:hAnsi="ＭＳ ゴシック" w:eastAsia="ＭＳ ゴシック"/>
                                <w:sz w:val="20"/>
                              </w:rPr>
                              <w:t>以下</w:t>
                            </w:r>
                          </w:p>
                        </w:tc>
                      </w:tr>
                      <w:tr>
                        <w:trPr>
                          <w:trHeight w:val="176" w:hRule="atLeast"/>
                        </w:trPr>
                        <w:tc>
                          <w:tcPr>
                            <w:tcW w:w="3509" w:type="dxa"/>
                            <w:vAlign w:val="center"/>
                          </w:tcPr>
                          <w:p>
                            <w:pPr>
                              <w:pStyle w:val="0"/>
                              <w:spacing w:before="39" w:beforeLines="10" w:beforeAutospacing="0" w:after="39" w:afterLines="10" w:afterAutospacing="0" w:line="280" w:lineRule="exact"/>
                              <w:rPr>
                                <w:rFonts w:hint="default" w:ascii="ＭＳ ゴシック" w:hAnsi="ＭＳ ゴシック" w:eastAsia="ＭＳ ゴシック"/>
                                <w:sz w:val="20"/>
                              </w:rPr>
                            </w:pPr>
                            <w:r>
                              <w:rPr>
                                <w:rFonts w:hint="eastAsia" w:ascii="ＭＳ ゴシック" w:hAnsi="ＭＳ ゴシック" w:eastAsia="ＭＳ ゴシック"/>
                                <w:sz w:val="20"/>
                              </w:rPr>
                              <w:t>7.5GY</w:t>
                            </w:r>
                            <w:r>
                              <w:rPr>
                                <w:rFonts w:hint="eastAsia" w:ascii="ＭＳ ゴシック" w:hAnsi="ＭＳ ゴシック" w:eastAsia="ＭＳ ゴシック"/>
                                <w:sz w:val="20"/>
                              </w:rPr>
                              <w:t>〜</w:t>
                            </w:r>
                            <w:r>
                              <w:rPr>
                                <w:rFonts w:hint="eastAsia" w:ascii="ＭＳ ゴシック" w:hAnsi="ＭＳ ゴシック" w:eastAsia="ＭＳ ゴシック"/>
                                <w:sz w:val="20"/>
                              </w:rPr>
                              <w:t>7.5RP(7.5RP</w:t>
                            </w:r>
                            <w:r>
                              <w:rPr>
                                <w:rFonts w:hint="eastAsia" w:ascii="ＭＳ ゴシック" w:hAnsi="ＭＳ ゴシック" w:eastAsia="ＭＳ ゴシック"/>
                                <w:sz w:val="20"/>
                              </w:rPr>
                              <w:t>は含まない</w:t>
                            </w:r>
                            <w:r>
                              <w:rPr>
                                <w:rFonts w:hint="eastAsia" w:ascii="ＭＳ ゴシック" w:hAnsi="ＭＳ ゴシック" w:eastAsia="ＭＳ ゴシック"/>
                                <w:sz w:val="20"/>
                              </w:rPr>
                              <w:t>)</w:t>
                            </w:r>
                          </w:p>
                        </w:tc>
                        <w:tc>
                          <w:tcPr>
                            <w:tcW w:w="2263"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2</w:t>
                            </w:r>
                            <w:r>
                              <w:rPr>
                                <w:rFonts w:hint="eastAsia" w:ascii="ＭＳ ゴシック" w:hAnsi="ＭＳ ゴシック" w:eastAsia="ＭＳ ゴシック"/>
                                <w:sz w:val="20"/>
                              </w:rPr>
                              <w:t>を超え</w:t>
                            </w:r>
                            <w:r>
                              <w:rPr>
                                <w:rFonts w:hint="eastAsia" w:ascii="ＭＳ ゴシック" w:hAnsi="ＭＳ ゴシック" w:eastAsia="ＭＳ ゴシック"/>
                                <w:sz w:val="20"/>
                              </w:rPr>
                              <w:t>8</w:t>
                            </w:r>
                            <w:r>
                              <w:rPr>
                                <w:rFonts w:hint="eastAsia" w:ascii="ＭＳ ゴシック" w:hAnsi="ＭＳ ゴシック" w:eastAsia="ＭＳ ゴシック"/>
                                <w:sz w:val="20"/>
                              </w:rPr>
                              <w:t>未満</w:t>
                            </w:r>
                          </w:p>
                        </w:tc>
                        <w:tc>
                          <w:tcPr>
                            <w:tcW w:w="3158"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2</w:t>
                            </w:r>
                            <w:r>
                              <w:rPr>
                                <w:rFonts w:hint="eastAsia" w:ascii="ＭＳ ゴシック" w:hAnsi="ＭＳ ゴシック" w:eastAsia="ＭＳ ゴシック"/>
                                <w:sz w:val="20"/>
                              </w:rPr>
                              <w:t>以下</w:t>
                            </w:r>
                          </w:p>
                        </w:tc>
                      </w:tr>
                      <w:tr>
                        <w:trPr>
                          <w:trHeight w:val="190" w:hRule="atLeast"/>
                        </w:trPr>
                        <w:tc>
                          <w:tcPr>
                            <w:tcW w:w="3509" w:type="dxa"/>
                            <w:vMerge w:val="restart"/>
                            <w:vAlign w:val="center"/>
                          </w:tcPr>
                          <w:p>
                            <w:pPr>
                              <w:pStyle w:val="0"/>
                              <w:spacing w:before="39" w:beforeLines="10" w:beforeAutospacing="0" w:after="39" w:afterLines="10" w:afterAutospacing="0" w:line="280" w:lineRule="exact"/>
                              <w:rPr>
                                <w:rFonts w:hint="default" w:ascii="ＭＳ ゴシック" w:hAnsi="ＭＳ ゴシック" w:eastAsia="ＭＳ ゴシック"/>
                                <w:sz w:val="20"/>
                              </w:rPr>
                            </w:pPr>
                            <w:r>
                              <w:rPr>
                                <w:rFonts w:hint="eastAsia" w:ascii="ＭＳ ゴシック" w:hAnsi="ＭＳ ゴシック" w:eastAsia="ＭＳ ゴシック"/>
                                <w:sz w:val="20"/>
                              </w:rPr>
                              <w:t>7.5RP</w:t>
                            </w:r>
                            <w:r>
                              <w:rPr>
                                <w:rFonts w:hint="eastAsia" w:ascii="ＭＳ ゴシック" w:hAnsi="ＭＳ ゴシック" w:eastAsia="ＭＳ ゴシック"/>
                                <w:sz w:val="20"/>
                              </w:rPr>
                              <w:t>〜</w:t>
                            </w:r>
                            <w:r>
                              <w:rPr>
                                <w:rFonts w:hint="eastAsia" w:ascii="ＭＳ ゴシック" w:hAnsi="ＭＳ ゴシック" w:eastAsia="ＭＳ ゴシック"/>
                                <w:sz w:val="20"/>
                              </w:rPr>
                              <w:t>7.5R(7.5R</w:t>
                            </w:r>
                            <w:r>
                              <w:rPr>
                                <w:rFonts w:hint="eastAsia" w:ascii="ＭＳ ゴシック" w:hAnsi="ＭＳ ゴシック" w:eastAsia="ＭＳ ゴシック"/>
                                <w:sz w:val="20"/>
                              </w:rPr>
                              <w:t>は含まない</w:t>
                            </w:r>
                            <w:r>
                              <w:rPr>
                                <w:rFonts w:hint="eastAsia" w:ascii="ＭＳ ゴシック" w:hAnsi="ＭＳ ゴシック" w:eastAsia="ＭＳ ゴシック"/>
                                <w:sz w:val="20"/>
                              </w:rPr>
                              <w:t>)</w:t>
                            </w:r>
                          </w:p>
                        </w:tc>
                        <w:tc>
                          <w:tcPr>
                            <w:tcW w:w="2263"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2</w:t>
                            </w:r>
                            <w:r>
                              <w:rPr>
                                <w:rFonts w:hint="eastAsia" w:ascii="ＭＳ ゴシック" w:hAnsi="ＭＳ ゴシック" w:eastAsia="ＭＳ ゴシック"/>
                                <w:sz w:val="20"/>
                              </w:rPr>
                              <w:t>を超え</w:t>
                            </w:r>
                            <w:r>
                              <w:rPr>
                                <w:rFonts w:hint="eastAsia" w:ascii="ＭＳ ゴシック" w:hAnsi="ＭＳ ゴシック" w:eastAsia="ＭＳ ゴシック"/>
                                <w:sz w:val="20"/>
                              </w:rPr>
                              <w:t>8</w:t>
                            </w:r>
                            <w:r>
                              <w:rPr>
                                <w:rFonts w:hint="eastAsia" w:ascii="ＭＳ ゴシック" w:hAnsi="ＭＳ ゴシック" w:eastAsia="ＭＳ ゴシック"/>
                                <w:sz w:val="20"/>
                              </w:rPr>
                              <w:t>未満</w:t>
                            </w:r>
                          </w:p>
                        </w:tc>
                        <w:tc>
                          <w:tcPr>
                            <w:tcW w:w="3158"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4</w:t>
                            </w:r>
                            <w:r>
                              <w:rPr>
                                <w:rFonts w:hint="eastAsia" w:ascii="ＭＳ ゴシック" w:hAnsi="ＭＳ ゴシック" w:eastAsia="ＭＳ ゴシック"/>
                                <w:sz w:val="20"/>
                              </w:rPr>
                              <w:t>以下</w:t>
                            </w:r>
                          </w:p>
                        </w:tc>
                      </w:tr>
                      <w:tr>
                        <w:trPr>
                          <w:trHeight w:val="156" w:hRule="atLeast"/>
                        </w:trPr>
                        <w:tc>
                          <w:tcPr>
                            <w:tcW w:w="3509" w:type="dxa"/>
                            <w:vMerge w:val="continue"/>
                            <w:vAlign w:val="center"/>
                          </w:tcPr>
                          <w:p>
                            <w:pPr>
                              <w:pStyle w:val="0"/>
                              <w:spacing w:before="39" w:beforeLines="10" w:beforeAutospacing="0" w:after="39" w:afterLines="10" w:afterAutospacing="0" w:line="280" w:lineRule="exact"/>
                              <w:rPr>
                                <w:rFonts w:hint="default" w:ascii="ＭＳ ゴシック" w:hAnsi="ＭＳ ゴシック" w:eastAsia="ＭＳ ゴシック"/>
                                <w:sz w:val="20"/>
                              </w:rPr>
                            </w:pPr>
                          </w:p>
                        </w:tc>
                        <w:tc>
                          <w:tcPr>
                            <w:tcW w:w="2263"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8</w:t>
                            </w:r>
                            <w:r>
                              <w:rPr>
                                <w:rFonts w:hint="eastAsia" w:ascii="ＭＳ ゴシック" w:hAnsi="ＭＳ ゴシック" w:eastAsia="ＭＳ ゴシック"/>
                                <w:sz w:val="20"/>
                              </w:rPr>
                              <w:t>以上</w:t>
                            </w:r>
                            <w:r>
                              <w:rPr>
                                <w:rFonts w:hint="eastAsia" w:ascii="ＭＳ ゴシック" w:hAnsi="ＭＳ ゴシック" w:eastAsia="ＭＳ ゴシック"/>
                                <w:sz w:val="20"/>
                              </w:rPr>
                              <w:t>9</w:t>
                            </w:r>
                            <w:r>
                              <w:rPr>
                                <w:rFonts w:hint="eastAsia" w:ascii="ＭＳ ゴシック" w:hAnsi="ＭＳ ゴシック" w:eastAsia="ＭＳ ゴシック"/>
                                <w:sz w:val="20"/>
                              </w:rPr>
                              <w:t>未満</w:t>
                            </w:r>
                          </w:p>
                        </w:tc>
                        <w:tc>
                          <w:tcPr>
                            <w:tcW w:w="3158"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2</w:t>
                            </w:r>
                            <w:r>
                              <w:rPr>
                                <w:rFonts w:hint="eastAsia" w:ascii="ＭＳ ゴシック" w:hAnsi="ＭＳ ゴシック" w:eastAsia="ＭＳ ゴシック"/>
                                <w:sz w:val="20"/>
                              </w:rPr>
                              <w:t>以下</w:t>
                            </w:r>
                          </w:p>
                        </w:tc>
                      </w:tr>
                    </w:tbl>
                    <w:p>
                      <w:pPr>
                        <w:pStyle w:val="0"/>
                        <w:rPr>
                          <w:rFonts w:hint="default"/>
                          <w:sz w:val="20"/>
                        </w:rPr>
                      </w:pPr>
                    </w:p>
                  </w:txbxContent>
                </v:textbox>
                <v:imagedata o:title=""/>
                <w10:wrap type="none" anchorx="text" anchory="text"/>
              </v:shape>
            </w:pict>
          </mc:Fallback>
        </mc:AlternateContent>
      </w: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0"/>
        </w:rPr>
      </w:pPr>
      <w:r>
        <w:rPr>
          <w:rFonts w:hint="eastAsia"/>
          <w:sz w:val="20"/>
        </w:rPr>
        <w:t>備考　チェック欄については、該当する□にレ点を記入してください。</w:t>
      </w:r>
    </w:p>
    <w:sectPr>
      <w:headerReference r:id="rId5" w:type="even"/>
      <w:headerReference r:id="rId6" w:type="default"/>
      <w:footerReference r:id="rId7" w:type="even"/>
      <w:pgSz w:w="11906" w:h="16838"/>
      <w:pgMar w:top="1418" w:right="1418" w:bottom="1418" w:left="1701" w:header="567" w:footer="567"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S明朝E">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ヒラギノ角ゴ ProN W3">
    <w:panose1 w:val="00000000000000000000"/>
    <w:charset w:val="80"/>
    <w:family w:val="auto"/>
    <w:pitch w:val="fixed"/>
    <w:sig w:usb0="00000000" w:usb1="00000000" w:usb2="00000000" w:usb3="00000000" w:csb0="0D000200" w:csb1="00000000"/>
  </w:font>
  <w:font w:name="KozMinStd-Light">
    <w:panose1 w:val="00000000000000000000"/>
    <w:charset w:val="80"/>
    <w:family w:val="auto"/>
    <w:notTrueType/>
    <w:pitch w:val="fixed"/>
    <w:sig w:usb0="00000000" w:usb1="00000000" w:usb2="00000000" w:usb3="00000000" w:csb0="00000200" w:csb1="00000000"/>
  </w:font>
  <w:font w:name="Century Gothic">
    <w:panose1 w:val="00000000000000000000"/>
    <w:charset w:val="00"/>
    <w:family w:val="swiss"/>
    <w:notTrueType/>
    <w:pitch w:val="variable"/>
    <w:sig w:usb0="00000000" w:usb1="00000000" w:usb2="00000000" w:usb3="00000000" w:csb0="FF000000" w:csb1="00000000"/>
  </w:font>
  <w:font w:name="Palatino Linotype">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framePr w:wrap="around" w:hAnchor="margin" w:vAnchor="text" w:x="-4" w:y="2"/>
      <w:rPr>
        <w:rStyle w:val="34"/>
        <w:rFonts w:hint="default" w:ascii="HG丸ｺﾞｼｯｸM-PRO" w:hAnsi="HG丸ｺﾞｼｯｸM-PRO" w:eastAsia="HG丸ｺﾞｼｯｸM-PRO"/>
      </w:rPr>
    </w:pPr>
    <w:r>
      <w:rPr>
        <w:rStyle w:val="34"/>
        <w:rFonts w:hint="default" w:ascii="HG丸ｺﾞｼｯｸM-PRO" w:hAnsi="HG丸ｺﾞｼｯｸM-PRO" w:eastAsia="HG丸ｺﾞｼｯｸM-PRO"/>
      </w:rPr>
      <w:t xml:space="preserve">- </w:t>
    </w:r>
    <w:r>
      <w:rPr>
        <w:rFonts w:hint="eastAsia"/>
      </w:rPr>
      <w:fldChar w:fldCharType="begin"/>
    </w:r>
    <w:r>
      <w:rPr>
        <w:rFonts w:hint="eastAsia"/>
      </w:rPr>
      <w:instrText xml:space="preserve">PAGE  \* MERGEFORMAT </w:instrText>
    </w:r>
    <w:r>
      <w:rPr>
        <w:rFonts w:hint="eastAsia"/>
      </w:rPr>
      <w:fldChar w:fldCharType="separate"/>
    </w:r>
    <w:r>
      <w:rPr>
        <w:rStyle w:val="34"/>
        <w:rFonts w:hint="default" w:ascii="HG丸ｺﾞｼｯｸM-PRO" w:hAnsi="HG丸ｺﾞｼｯｸM-PRO" w:eastAsia="HG丸ｺﾞｼｯｸM-PRO"/>
      </w:rPr>
      <w:t>2</w:t>
    </w:r>
    <w:r>
      <w:rPr>
        <w:rFonts w:hint="eastAsia"/>
      </w:rPr>
      <w:fldChar w:fldCharType="end"/>
    </w:r>
    <w:r>
      <w:rPr>
        <w:rStyle w:val="34"/>
        <w:rFonts w:hint="default" w:ascii="HG丸ｺﾞｼｯｸM-PRO" w:hAnsi="HG丸ｺﾞｼｯｸM-PRO" w:eastAsia="HG丸ｺﾞｼｯｸM-PRO"/>
      </w:rPr>
      <w:t xml:space="preserve"> -</w:t>
    </w:r>
  </w:p>
  <w:p>
    <w:pPr>
      <w:pStyle w:val="2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p>
    <w:pPr>
      <w:pStyle w:val="27"/>
      <w:rPr>
        <w:rFonts w:hint="default"/>
      </w:rPr>
    </w:pPr>
  </w:p>
  <w:p>
    <w:pPr>
      <w:pStyle w:val="27"/>
      <w:rPr>
        <w:rFonts w:hint="default"/>
        <w:sz w:val="20"/>
      </w:rPr>
    </w:pPr>
    <w:r>
      <w:rPr>
        <w:rFonts w:hint="eastAsia"/>
      </w:rPr>
      <w:t>様式第</w:t>
    </w:r>
    <w:r>
      <w:rPr>
        <w:rFonts w:hint="eastAsia"/>
      </w:rPr>
      <w:t>3</w:t>
    </w:r>
    <w:r>
      <w:rPr>
        <w:rFonts w:hint="eastAsia"/>
      </w:rPr>
      <w:t>の</w:t>
    </w:r>
    <w:r>
      <w:rPr>
        <w:rFonts w:hint="eastAsia"/>
      </w:rPr>
      <w:t>3</w:t>
    </w:r>
    <w:r>
      <w:rPr>
        <w:rFonts w:hint="eastAsia"/>
      </w:rPr>
      <w:t>号（第</w:t>
    </w:r>
    <w:r>
      <w:rPr>
        <w:rFonts w:hint="eastAsia"/>
      </w:rPr>
      <w:t>4</w:t>
    </w:r>
    <w:r>
      <w:rPr>
        <w:rFonts w:hint="eastAsia"/>
      </w:rPr>
      <w:t>条関係）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p>
    <w:pPr>
      <w:pStyle w:val="27"/>
      <w:rPr>
        <w:rFonts w:hint="default"/>
      </w:rPr>
    </w:pPr>
  </w:p>
  <w:p>
    <w:pPr>
      <w:pStyle w:val="27"/>
      <w:rPr>
        <w:rFonts w:hint="default"/>
        <w:sz w:val="20"/>
      </w:rPr>
    </w:pPr>
    <w:r>
      <w:rPr>
        <w:rFonts w:hint="eastAsia"/>
        <w:sz w:val="20"/>
      </w:rPr>
      <w:t>様式第４号（第２条関係）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960"/>
  <w:drawingGridHorizontalSpacing w:val="105"/>
  <w:drawingGridVerticalSpacing w:val="200"/>
  <w:displayHorizontalDrawingGridEvery w:val="0"/>
  <w:displayVerticalDrawingGridEvery w:val="2"/>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Theme="minorEastAsia"/>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１）見出し"/>
    <w:basedOn w:val="0"/>
    <w:next w:val="15"/>
    <w:link w:val="0"/>
    <w:uiPriority w:val="0"/>
    <w:qFormat/>
    <w:pPr>
      <w:spacing w:before="312" w:beforeLines="80" w:beforeAutospacing="0" w:line="340" w:lineRule="exact"/>
      <w:ind w:left="840" w:hanging="840" w:hangingChars="300"/>
    </w:pPr>
    <w:rPr>
      <w:rFonts w:ascii="HGS創英角ｺﾞｼｯｸUB" w:hAnsi="HGS創英角ｺﾞｼｯｸUB" w:eastAsia="HGS創英角ｺﾞｼｯｸUB"/>
      <w:sz w:val="28"/>
    </w:rPr>
  </w:style>
  <w:style w:type="paragraph" w:styleId="16" w:customStyle="1">
    <w:name w:val="本文（MS明朝）"/>
    <w:basedOn w:val="0"/>
    <w:next w:val="16"/>
    <w:link w:val="0"/>
    <w:uiPriority w:val="0"/>
    <w:qFormat/>
    <w:pPr>
      <w:spacing w:before="117" w:beforeLines="30" w:beforeAutospacing="0" w:line="440" w:lineRule="atLeast"/>
      <w:ind w:left="283" w:leftChars="135" w:firstLine="221"/>
    </w:pPr>
    <w:rPr>
      <w:rFonts w:asciiTheme="minorEastAsia" w:hAnsiTheme="minorEastAsia" w:eastAsiaTheme="minorEastAsia"/>
      <w:sz w:val="22"/>
    </w:rPr>
  </w:style>
  <w:style w:type="paragraph" w:styleId="17" w:customStyle="1">
    <w:name w:val="※注釈"/>
    <w:basedOn w:val="16"/>
    <w:next w:val="17"/>
    <w:link w:val="0"/>
    <w:uiPriority w:val="0"/>
    <w:qFormat/>
    <w:pPr>
      <w:spacing w:before="180" w:beforeLines="0" w:beforeAutospacing="0" w:line="260" w:lineRule="exact"/>
      <w:ind w:left="1260" w:leftChars="500" w:hanging="210" w:hangingChars="100"/>
    </w:pPr>
    <w:rPr>
      <w:sz w:val="21"/>
    </w:rPr>
  </w:style>
  <w:style w:type="paragraph" w:styleId="18" w:customStyle="1">
    <w:name w:val="○計画説明"/>
    <w:basedOn w:val="0"/>
    <w:next w:val="18"/>
    <w:link w:val="0"/>
    <w:uiPriority w:val="0"/>
    <w:qFormat/>
    <w:pPr>
      <w:spacing w:line="360" w:lineRule="exact"/>
      <w:ind w:left="955" w:leftChars="350" w:right="34" w:hanging="220" w:hangingChars="100"/>
    </w:pPr>
    <w:rPr>
      <w:rFonts w:ascii="HG丸ｺﾞｼｯｸM-PRO" w:hAnsi="HG丸ｺﾞｼｯｸM-PRO" w:eastAsia="HG丸ｺﾞｼｯｸM-PRO"/>
      <w:sz w:val="22"/>
    </w:rPr>
  </w:style>
  <w:style w:type="paragraph" w:styleId="19" w:customStyle="1">
    <w:name w:val="●計画名"/>
    <w:basedOn w:val="0"/>
    <w:next w:val="19"/>
    <w:link w:val="0"/>
    <w:uiPriority w:val="0"/>
    <w:qFormat/>
    <w:pPr>
      <w:spacing w:before="195" w:beforeLines="50" w:beforeAutospacing="0"/>
      <w:ind w:left="315" w:leftChars="150" w:right="35" w:firstLine="238" w:firstLineChars="100"/>
    </w:pPr>
    <w:rPr>
      <w:rFonts w:ascii="HG丸ｺﾞｼｯｸM-PRO" w:hAnsi="HG丸ｺﾞｼｯｸM-PRO" w:eastAsia="HG丸ｺﾞｼｯｸM-PRO"/>
      <w:b w:val="1"/>
      <w:sz w:val="22"/>
    </w:rPr>
  </w:style>
  <w:style w:type="paragraph" w:styleId="20" w:customStyle="1">
    <w:name w:val="１　見出し"/>
    <w:basedOn w:val="0"/>
    <w:next w:val="20"/>
    <w:link w:val="0"/>
    <w:uiPriority w:val="0"/>
    <w:qFormat/>
    <w:pPr>
      <w:shd w:val="clear" w:color="auto" w:fill="42558C"/>
      <w:spacing w:line="480" w:lineRule="atLeast"/>
    </w:pPr>
    <w:rPr>
      <w:rFonts w:ascii="HGS創英角ｺﾞｼｯｸUB" w:hAnsi="HGS創英角ｺﾞｼｯｸUB" w:eastAsia="HGS創英角ｺﾞｼｯｸUB"/>
      <w:color w:val="FFFFFF" w:themeColor="background1"/>
      <w:sz w:val="32"/>
    </w:rPr>
  </w:style>
  <w:style w:type="paragraph" w:styleId="21" w:customStyle="1">
    <w:name w:val="①見出し"/>
    <w:basedOn w:val="0"/>
    <w:next w:val="21"/>
    <w:link w:val="0"/>
    <w:uiPriority w:val="0"/>
    <w:qFormat/>
    <w:pPr>
      <w:spacing w:before="390" w:beforeLines="100" w:beforeAutospacing="0" w:line="480" w:lineRule="atLeast"/>
      <w:ind w:left="797" w:leftChars="200" w:right="34" w:hanging="377" w:hangingChars="157"/>
    </w:pPr>
    <w:rPr>
      <w:rFonts w:ascii="HGP創英角ｺﾞｼｯｸUB" w:hAnsi="HGP創英角ｺﾞｼｯｸUB" w:eastAsia="HGP創英角ｺﾞｼｯｸUB"/>
      <w:color w:val="244061"/>
      <w:sz w:val="24"/>
    </w:rPr>
  </w:style>
  <w:style w:type="paragraph" w:styleId="22" w:customStyle="1">
    <w:name w:val="キャプション（丸ゴシック）"/>
    <w:basedOn w:val="0"/>
    <w:next w:val="22"/>
    <w:link w:val="0"/>
    <w:uiPriority w:val="0"/>
    <w:qFormat/>
    <w:pPr>
      <w:spacing w:line="300" w:lineRule="exact"/>
    </w:pPr>
    <w:rPr>
      <w:rFonts w:ascii="HG丸ｺﾞｼｯｸM-PRO" w:hAnsi="HG丸ｺﾞｼｯｸM-PRO" w:eastAsia="HG丸ｺﾞｼｯｸM-PRO"/>
    </w:rPr>
  </w:style>
  <w:style w:type="paragraph" w:styleId="23" w:customStyle="1">
    <w:name w:val="ヘッダ（青）奇数"/>
    <w:basedOn w:val="0"/>
    <w:next w:val="23"/>
    <w:link w:val="0"/>
    <w:uiPriority w:val="0"/>
    <w:qFormat/>
    <w:pPr>
      <w:pBdr>
        <w:bottom w:val="single" w:color="365F91" w:sz="4" w:space="1"/>
      </w:pBdr>
      <w:tabs>
        <w:tab w:val="center" w:leader="none" w:pos="4252"/>
        <w:tab w:val="right" w:leader="none" w:pos="8504"/>
      </w:tabs>
      <w:snapToGrid w:val="0"/>
      <w:ind w:firstLine="200"/>
      <w:jc w:val="right"/>
    </w:pPr>
    <w:rPr>
      <w:rFonts w:ascii="HG丸ｺﾞｼｯｸM-PRO" w:hAnsi="HG丸ｺﾞｼｯｸM-PRO" w:eastAsia="HG丸ｺﾞｼｯｸM-PRO"/>
      <w:color w:val="244061"/>
      <w:sz w:val="20"/>
    </w:rPr>
  </w:style>
  <w:style w:type="paragraph" w:styleId="24" w:customStyle="1">
    <w:name w:val="リード文"/>
    <w:basedOn w:val="0"/>
    <w:next w:val="24"/>
    <w:link w:val="0"/>
    <w:uiPriority w:val="0"/>
    <w:qFormat/>
    <w:pPr>
      <w:spacing w:before="195" w:beforeLines="50" w:beforeAutospacing="0" w:line="390" w:lineRule="atLeast"/>
      <w:ind w:firstLine="220" w:firstLineChars="100"/>
    </w:pPr>
    <w:rPr>
      <w:rFonts w:asciiTheme="minorEastAsia" w:hAnsiTheme="minorEastAsia" w:eastAsiaTheme="minorEastAsia"/>
      <w:sz w:val="22"/>
    </w:rPr>
  </w:style>
  <w:style w:type="paragraph" w:styleId="25" w:customStyle="1">
    <w:name w:val="章見出し"/>
    <w:basedOn w:val="0"/>
    <w:next w:val="25"/>
    <w:link w:val="0"/>
    <w:uiPriority w:val="0"/>
    <w:qFormat/>
    <w:pPr>
      <w:spacing w:line="1360" w:lineRule="exact"/>
      <w:jc w:val="right"/>
    </w:pPr>
    <w:rPr>
      <w:rFonts w:ascii="HGP創英角ｺﾞｼｯｸUB" w:hAnsi="HGP創英角ｺﾞｼｯｸUB" w:eastAsia="HGP創英角ｺﾞｼｯｸUB"/>
      <w:color w:val="42558C" w:themeColor="accent1" w:themeShade="BF"/>
      <w:sz w:val="96"/>
    </w:rPr>
  </w:style>
  <w:style w:type="paragraph" w:styleId="26" w:customStyle="1">
    <w:name w:val="本文（丸ゴシ）"/>
    <w:basedOn w:val="0"/>
    <w:next w:val="26"/>
    <w:link w:val="0"/>
    <w:uiPriority w:val="0"/>
    <w:qFormat/>
    <w:pPr>
      <w:spacing w:before="117" w:beforeLines="30" w:beforeAutospacing="0" w:line="390" w:lineRule="atLeast"/>
      <w:ind w:left="630" w:leftChars="300" w:firstLine="220" w:firstLineChars="100"/>
    </w:pPr>
    <w:rPr>
      <w:rFonts w:ascii="HG丸ｺﾞｼｯｸM-PRO" w:hAnsi="HG丸ｺﾞｼｯｸM-PRO" w:eastAsia="HG丸ｺﾞｼｯｸM-PRO"/>
      <w:sz w:val="22"/>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ascii="Century" w:hAnsi="Century" w:eastAsia="ＭＳ 明朝"/>
      <w:kern w:val="2"/>
      <w:sz w:val="21"/>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rFonts w:ascii="Century" w:hAnsi="Century" w:eastAsia="ＭＳ 明朝"/>
      <w:kern w:val="2"/>
      <w:sz w:val="21"/>
    </w:rPr>
  </w:style>
  <w:style w:type="paragraph" w:styleId="31">
    <w:name w:val="List Paragraph"/>
    <w:basedOn w:val="0"/>
    <w:next w:val="31"/>
    <w:link w:val="0"/>
    <w:uiPriority w:val="0"/>
    <w:qFormat/>
    <w:pPr>
      <w:ind w:left="960" w:leftChars="400"/>
    </w:pPr>
  </w:style>
  <w:style w:type="paragraph" w:styleId="32" w:customStyle="1">
    <w:name w:val="ヘッダ（青）偶数"/>
    <w:basedOn w:val="23"/>
    <w:next w:val="32"/>
    <w:link w:val="0"/>
    <w:uiPriority w:val="0"/>
    <w:qFormat/>
    <w:pPr>
      <w:ind w:firstLine="0"/>
      <w:jc w:val="left"/>
    </w:pPr>
  </w:style>
  <w:style w:type="paragraph" w:styleId="33" w:customStyle="1">
    <w:name w:val="本文（箇条書き）"/>
    <w:basedOn w:val="16"/>
    <w:next w:val="33"/>
    <w:link w:val="0"/>
    <w:uiPriority w:val="0"/>
    <w:qFormat/>
    <w:pPr>
      <w:ind w:left="850" w:leftChars="299" w:right="281" w:rightChars="134" w:hanging="222" w:hangingChars="101"/>
    </w:pPr>
  </w:style>
  <w:style w:type="character" w:styleId="34">
    <w:name w:val="page number"/>
    <w:basedOn w:val="10"/>
    <w:next w:val="34"/>
    <w:link w:val="0"/>
    <w:uiPriority w:val="0"/>
  </w:style>
  <w:style w:type="paragraph" w:styleId="35">
    <w:name w:val="Balloon Text"/>
    <w:basedOn w:val="0"/>
    <w:next w:val="35"/>
    <w:link w:val="36"/>
    <w:uiPriority w:val="0"/>
    <w:semiHidden/>
    <w:rPr>
      <w:rFonts w:ascii="ヒラギノ角ゴ ProN W3" w:hAnsi="ヒラギノ角ゴ ProN W3" w:eastAsia="ヒラギノ角ゴ ProN W3"/>
      <w:sz w:val="18"/>
    </w:rPr>
  </w:style>
  <w:style w:type="character" w:styleId="36" w:customStyle="1">
    <w:name w:val="吹き出し (文字)"/>
    <w:basedOn w:val="10"/>
    <w:next w:val="36"/>
    <w:link w:val="35"/>
    <w:uiPriority w:val="0"/>
    <w:rPr>
      <w:rFonts w:ascii="ヒラギノ角ゴ ProN W3" w:hAnsi="ヒラギノ角ゴ ProN W3" w:eastAsia="ヒラギノ角ゴ ProN W3"/>
      <w:kern w:val="2"/>
      <w:sz w:val="18"/>
    </w:rPr>
  </w:style>
  <w:style w:type="paragraph" w:styleId="37" w:customStyle="1">
    <w:name w:val="本文（丸ゴシ）箇条書き"/>
    <w:basedOn w:val="26"/>
    <w:next w:val="37"/>
    <w:link w:val="0"/>
    <w:uiPriority w:val="0"/>
    <w:qFormat/>
    <w:pPr>
      <w:spacing w:before="120" w:beforeLines="0" w:beforeAutospacing="0"/>
      <w:ind w:left="867" w:leftChars="305" w:hanging="196" w:firstLineChars="0"/>
    </w:pPr>
  </w:style>
  <w:style w:type="paragraph" w:styleId="38" w:customStyle="1">
    <w:name w:val="資料編表"/>
    <w:basedOn w:val="0"/>
    <w:next w:val="38"/>
    <w:link w:val="0"/>
    <w:uiPriority w:val="0"/>
    <w:qFormat/>
    <w:pPr>
      <w:widowControl w:val="1"/>
      <w:jc w:val="right"/>
    </w:pPr>
    <w:rPr>
      <w:rFonts w:asciiTheme="majorEastAsia" w:hAnsiTheme="majorEastAsia" w:eastAsiaTheme="majorEastAsia"/>
      <w:color w:val="000000"/>
      <w:kern w:val="0"/>
      <w:sz w:val="18"/>
    </w:rPr>
  </w:style>
  <w:style w:type="paragraph" w:styleId="39" w:customStyle="1">
    <w:name w:val="表（丸ゴシ）"/>
    <w:basedOn w:val="0"/>
    <w:next w:val="39"/>
    <w:link w:val="0"/>
    <w:uiPriority w:val="0"/>
    <w:qFormat/>
    <w:pPr>
      <w:spacing w:before="78" w:beforeLines="20" w:beforeAutospacing="0" w:after="78" w:afterLines="20" w:afterAutospacing="0" w:line="320" w:lineRule="exact"/>
    </w:pPr>
    <w:rPr>
      <w:rFonts w:ascii="HG丸ｺﾞｼｯｸM-PRO" w:hAnsi="HG丸ｺﾞｼｯｸM-PRO" w:eastAsia="HG丸ｺﾞｼｯｸM-PRO"/>
      <w:sz w:val="22"/>
    </w:rPr>
  </w:style>
  <w:style w:type="paragraph" w:styleId="40">
    <w:name w:val="caption"/>
    <w:basedOn w:val="0"/>
    <w:next w:val="0"/>
    <w:link w:val="0"/>
    <w:uiPriority w:val="0"/>
    <w:semiHidden/>
    <w:qFormat/>
    <w:rPr>
      <w:b w:val="1"/>
    </w:rPr>
  </w:style>
  <w:style w:type="character" w:styleId="41">
    <w:name w:val="annotation reference"/>
    <w:basedOn w:val="10"/>
    <w:next w:val="41"/>
    <w:link w:val="0"/>
    <w:uiPriority w:val="0"/>
    <w:semiHidden/>
    <w:rPr>
      <w:sz w:val="18"/>
    </w:rPr>
  </w:style>
  <w:style w:type="paragraph" w:styleId="42">
    <w:name w:val="annotation text"/>
    <w:basedOn w:val="0"/>
    <w:next w:val="42"/>
    <w:link w:val="43"/>
    <w:uiPriority w:val="0"/>
    <w:semiHidden/>
    <w:pPr>
      <w:jc w:val="left"/>
    </w:pPr>
  </w:style>
  <w:style w:type="character" w:styleId="43" w:customStyle="1">
    <w:name w:val="コメント文字列 (文字)"/>
    <w:basedOn w:val="10"/>
    <w:next w:val="43"/>
    <w:link w:val="42"/>
    <w:uiPriority w:val="0"/>
    <w:rPr>
      <w:rFonts w:ascii="Century" w:hAnsi="Century" w:eastAsia="ＭＳ 明朝"/>
      <w:kern w:val="2"/>
      <w:sz w:val="21"/>
    </w:rPr>
  </w:style>
  <w:style w:type="paragraph" w:styleId="44">
    <w:name w:val="annotation subject"/>
    <w:basedOn w:val="42"/>
    <w:next w:val="42"/>
    <w:link w:val="45"/>
    <w:uiPriority w:val="0"/>
    <w:semiHidden/>
    <w:rPr>
      <w:b w:val="1"/>
    </w:rPr>
  </w:style>
  <w:style w:type="character" w:styleId="45" w:customStyle="1">
    <w:name w:val="コメント内容 (文字)"/>
    <w:basedOn w:val="43"/>
    <w:next w:val="45"/>
    <w:link w:val="44"/>
    <w:uiPriority w:val="0"/>
    <w:rPr>
      <w:rFonts w:ascii="Century" w:hAnsi="Century" w:eastAsia="ＭＳ 明朝"/>
      <w:b w:val="1"/>
      <w:kern w:val="2"/>
      <w:sz w:val="21"/>
    </w:rPr>
  </w:style>
  <w:style w:type="character" w:styleId="46">
    <w:name w:val="footnote reference"/>
    <w:basedOn w:val="10"/>
    <w:next w:val="46"/>
    <w:link w:val="0"/>
    <w:uiPriority w:val="0"/>
    <w:semiHidden/>
    <w:rPr>
      <w:vertAlign w:val="superscript"/>
    </w:rPr>
  </w:style>
  <w:style w:type="character" w:styleId="47">
    <w:name w:val="endnote reference"/>
    <w:basedOn w:val="10"/>
    <w:next w:val="47"/>
    <w:link w:val="0"/>
    <w:uiPriority w:val="0"/>
    <w:semiHidden/>
    <w:rPr>
      <w:vertAlign w:val="superscript"/>
    </w:rPr>
  </w:style>
  <w:style w:type="table" w:styleId="48">
    <w:name w:val="Table Grid"/>
    <w:basedOn w:val="49"/>
    <w:next w:val="48"/>
    <w:link w:val="0"/>
    <w:uiPriority w:val="0"/>
    <w:rPr>
      <w:rFonts w:ascii="Century" w:hAnsi="Century" w:eastAsia="ＭＳ 明朝"/>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 w:type="table" w:styleId="49">
    <w:name w:val="Table Grid 1"/>
    <w:basedOn w:val="11"/>
    <w:next w:val="49"/>
    <w:link w:val="0"/>
    <w:uiPriority w:val="0"/>
    <w:pPr>
      <w:widowControl w:val="0"/>
      <w:jc w:val="both"/>
    </w:pPr>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bottom w:w="0" w:type="dxa"/>
        <w:left w:w="108" w:type="dxa"/>
        <w:right w:w="108" w:type="dxa"/>
      </w:tblCellMar>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_rels/theme1.xml.rels><?xml version="1.0" encoding="UTF-8"?><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エグゼクティブ">
  <a:themeElements>
    <a:clrScheme name="エグゼクティブ">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エグゼクティブ">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tileRect/>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4</Pages>
  <Words>50</Words>
  <Characters>2065</Characters>
  <Application>JUST Note</Application>
  <Lines>1690</Lines>
  <Paragraphs>130</Paragraphs>
  <CharactersWithSpaces>2103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2014-03-18T08:56:00Z</cp:lastPrinted>
  <dcterms:created xsi:type="dcterms:W3CDTF">2014-03-11T10:52:00Z</dcterms:created>
  <dcterms:modified xsi:type="dcterms:W3CDTF">2021-04-15T02:29:00Z</dcterms:modified>
  <cp:revision>23</cp:revision>
</cp:coreProperties>
</file>