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spacing w:before="72" w:beforeLines="0" w:beforeAutospacing="0"/>
        <w:ind w:left="0" w:leftChars="0" w:firstLine="0"/>
        <w:jc w:val="center"/>
        <w:rPr>
          <w:rFonts w:hint="default" w:ascii="ＭＳ 明朝" w:hAnsi="ＭＳ 明朝" w:eastAsia="ＭＳ 明朝"/>
          <w:sz w:val="28"/>
        </w:rPr>
      </w:pPr>
      <w:bookmarkStart w:id="0" w:name="_GoBack"/>
      <w:bookmarkEnd w:id="0"/>
      <w:r>
        <w:rPr>
          <w:rFonts w:hint="eastAsia" w:ascii="ＭＳ 明朝" w:hAnsi="ＭＳ 明朝" w:eastAsia="ＭＳ 明朝"/>
          <w:sz w:val="28"/>
        </w:rPr>
        <w:t>都市景観形成基準適合確認書</w:t>
      </w:r>
    </w:p>
    <w:p>
      <w:pPr>
        <w:pStyle w:val="16"/>
        <w:spacing w:before="0" w:beforeLines="0" w:beforeAutospacing="0"/>
        <w:ind w:left="0" w:leftChars="0" w:firstLine="0"/>
        <w:jc w:val="center"/>
        <w:rPr>
          <w:rFonts w:hint="default" w:ascii="HGP創英角ｺﾞｼｯｸUB" w:hAnsi="HGP創英角ｺﾞｼｯｸUB" w:eastAsia="HGP創英角ｺﾞｼｯｸUB"/>
          <w:sz w:val="24"/>
        </w:rPr>
      </w:pPr>
      <w:r>
        <w:rPr>
          <w:rFonts w:hint="eastAsia" w:ascii="ＭＳ 明朝" w:hAnsi="ＭＳ 明朝" w:eastAsia="ＭＳ 明朝"/>
          <w:sz w:val="28"/>
        </w:rPr>
        <w:t>（喜多院周辺地区都市景観形成地域／歴史のまち並み地区）</w:t>
      </w:r>
    </w:p>
    <w:tbl>
      <w:tblPr>
        <w:tblStyle w:val="48"/>
        <w:tblW w:w="8841" w:type="dxa"/>
        <w:tblInd w:w="-10" w:type="dxa"/>
        <w:tblLayout w:type="fixed"/>
        <w:tblLook w:firstRow="1" w:lastRow="0" w:firstColumn="1" w:lastColumn="0" w:noHBand="0" w:noVBand="1" w:val="04A0"/>
      </w:tblPr>
      <w:tblGrid>
        <w:gridCol w:w="426"/>
        <w:gridCol w:w="493"/>
        <w:gridCol w:w="493"/>
        <w:gridCol w:w="6301"/>
        <w:gridCol w:w="79"/>
        <w:gridCol w:w="1049"/>
      </w:tblGrid>
      <w:tr>
        <w:trPr>
          <w:trHeight w:val="456" w:hRule="atLeast"/>
        </w:trPr>
        <w:tc>
          <w:tcPr>
            <w:tcW w:w="7713" w:type="dxa"/>
            <w:gridSpan w:val="4"/>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before="27" w:beforeLines="10" w:beforeAutospacing="0" w:line="240" w:lineRule="exact"/>
              <w:ind w:left="480" w:hanging="480" w:hangingChars="200"/>
              <w:jc w:val="center"/>
              <w:rPr>
                <w:rFonts w:hint="default" w:ascii="ＭＳ 明朝" w:hAnsi="ＭＳ 明朝"/>
                <w:sz w:val="24"/>
              </w:rPr>
            </w:pPr>
            <w:r>
              <w:rPr>
                <w:rFonts w:hint="eastAsia" w:ascii="ＭＳ 明朝" w:hAnsi="ＭＳ 明朝"/>
                <w:sz w:val="24"/>
              </w:rPr>
              <w:t>都市景観形成基準</w:t>
            </w:r>
          </w:p>
        </w:tc>
        <w:tc>
          <w:tcPr>
            <w:tcW w:w="1128" w:type="dxa"/>
            <w:gridSpan w:val="2"/>
            <w:tcBorders>
              <w:top w:val="single" w:color="auto" w:sz="8" w:space="0"/>
              <w:left w:val="single" w:color="auto" w:sz="8" w:space="0"/>
              <w:bottom w:val="single" w:color="auto" w:sz="6" w:space="0"/>
              <w:right w:val="single" w:color="auto" w:sz="8" w:space="0"/>
              <w:tl2br w:val="none" w:color="auto" w:sz="0" w:space="0"/>
              <w:tr2bl w:val="none" w:color="auto" w:sz="0" w:space="0"/>
            </w:tcBorders>
            <w:vAlign w:val="top"/>
          </w:tcPr>
          <w:p>
            <w:pPr>
              <w:pStyle w:val="0"/>
              <w:spacing w:before="82" w:beforeLines="30" w:beforeAutospacing="0" w:line="240" w:lineRule="exact"/>
              <w:ind w:left="440" w:hanging="440" w:hangingChars="200"/>
              <w:jc w:val="center"/>
              <w:rPr>
                <w:rFonts w:hint="default" w:ascii="ＭＳ 明朝" w:hAnsi="ＭＳ 明朝"/>
                <w:sz w:val="22"/>
              </w:rPr>
            </w:pPr>
            <w:r>
              <w:rPr>
                <w:rFonts w:hint="eastAsia" w:ascii="ＭＳ 明朝" w:hAnsi="ＭＳ 明朝"/>
                <w:sz w:val="22"/>
              </w:rPr>
              <w:t>チェック</w:t>
            </w:r>
          </w:p>
          <w:p>
            <w:pPr>
              <w:pStyle w:val="0"/>
              <w:spacing w:before="27" w:beforeLines="10" w:beforeAutospacing="0" w:line="240" w:lineRule="exact"/>
              <w:ind w:left="440" w:hanging="440" w:hangingChars="200"/>
              <w:jc w:val="center"/>
              <w:rPr>
                <w:rFonts w:hint="default" w:ascii="ＭＳ 明朝" w:hAnsi="ＭＳ 明朝"/>
                <w:sz w:val="22"/>
              </w:rPr>
            </w:pPr>
            <w:r>
              <w:rPr>
                <w:rFonts w:hint="eastAsia" w:ascii="ＭＳ 明朝" w:hAnsi="ＭＳ 明朝"/>
                <w:sz w:val="22"/>
              </w:rPr>
              <w:t>欄</w:t>
            </w:r>
          </w:p>
        </w:tc>
      </w:tr>
      <w:tr>
        <w:trPr>
          <w:trHeight w:val="735" w:hRule="atLeast"/>
        </w:trPr>
        <w:tc>
          <w:tcPr>
            <w:tcW w:w="426" w:type="dxa"/>
            <w:vMerge w:val="restart"/>
            <w:tcBorders>
              <w:top w:val="single" w:color="auto" w:sz="6"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r>
              <w:rPr>
                <w:rFonts w:hint="eastAsia" w:ascii="ＭＳ 明朝" w:hAnsi="ＭＳ 明朝"/>
                <w:sz w:val="22"/>
              </w:rPr>
              <w:t>建築物及び工作物に関する基準</w:t>
            </w:r>
          </w:p>
        </w:tc>
        <w:tc>
          <w:tcPr>
            <w:tcW w:w="986" w:type="dxa"/>
            <w:gridSpan w:val="2"/>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位置</w:t>
            </w:r>
          </w:p>
        </w:tc>
        <w:tc>
          <w:tcPr>
            <w:tcW w:w="6301"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道路や敷地に対する建築物の位置は、周囲のまち並みとの調和を図るものとする。</w:t>
            </w:r>
          </w:p>
        </w:tc>
        <w:tc>
          <w:tcPr>
            <w:tcW w:w="1128" w:type="dxa"/>
            <w:gridSpan w:val="2"/>
            <w:tcBorders>
              <w:top w:val="single" w:color="auto" w:sz="6" w:space="0"/>
              <w:left w:val="single" w:color="auto" w:sz="8" w:space="0"/>
              <w:bottom w:val="single" w:color="auto" w:sz="6"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ind w:left="440" w:hanging="440" w:hangingChars="200"/>
              <w:jc w:val="center"/>
              <w:rPr>
                <w:rFonts w:hint="default" w:ascii="ＭＳ 明朝" w:hAnsi="ＭＳ 明朝"/>
                <w:sz w:val="22"/>
              </w:rPr>
            </w:pPr>
            <w:r>
              <w:rPr>
                <w:rFonts w:hint="eastAsia" w:ascii="ＭＳ 明朝" w:hAnsi="ＭＳ 明朝"/>
                <w:sz w:val="22"/>
              </w:rPr>
              <w:t>□</w:t>
            </w:r>
          </w:p>
        </w:tc>
      </w:tr>
      <w:tr>
        <w:trPr>
          <w:trHeight w:val="735"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規模</w:t>
            </w:r>
          </w:p>
        </w:tc>
        <w:tc>
          <w:tcPr>
            <w:tcW w:w="6301"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建築物の高さについては、周囲のまち並みとの調和を図るものとする。</w:t>
            </w:r>
          </w:p>
        </w:tc>
        <w:tc>
          <w:tcPr>
            <w:tcW w:w="1128" w:type="dxa"/>
            <w:gridSpan w:val="2"/>
            <w:tcBorders>
              <w:top w:val="single" w:color="auto" w:sz="6" w:space="0"/>
              <w:left w:val="single" w:color="auto" w:sz="8" w:space="0"/>
              <w:bottom w:val="single" w:color="auto" w:sz="6"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ind w:left="440" w:hanging="440" w:hangingChars="200"/>
              <w:jc w:val="center"/>
              <w:rPr>
                <w:rFonts w:hint="default" w:ascii="ＭＳ 明朝" w:hAnsi="ＭＳ 明朝"/>
                <w:sz w:val="22"/>
              </w:rPr>
            </w:pPr>
            <w:r>
              <w:rPr>
                <w:rFonts w:hint="eastAsia" w:ascii="ＭＳ 明朝" w:hAnsi="ＭＳ 明朝"/>
                <w:sz w:val="22"/>
              </w:rPr>
              <w:t>□</w:t>
            </w:r>
          </w:p>
        </w:tc>
      </w:tr>
      <w:tr>
        <w:trPr>
          <w:trHeight w:val="1112"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restart"/>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形態</w:t>
            </w:r>
          </w:p>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意匠</w:t>
            </w:r>
          </w:p>
        </w:tc>
        <w:tc>
          <w:tcPr>
            <w:tcW w:w="6301"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公共空間（道路や河川、公園等）への正面性に配慮しつつ、周囲のまち並みや環境との調和を図るとともに、間口の大きな建築物については、壁面の後退や分節化などにより、周囲に圧迫感を与えないように配慮する。</w:t>
            </w:r>
          </w:p>
        </w:tc>
        <w:tc>
          <w:tcPr>
            <w:tcW w:w="1128" w:type="dxa"/>
            <w:gridSpan w:val="2"/>
            <w:tcBorders>
              <w:top w:val="single" w:color="auto" w:sz="6" w:space="0"/>
              <w:left w:val="single" w:color="auto" w:sz="8" w:space="0"/>
              <w:bottom w:val="single" w:color="auto" w:sz="6"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618"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共同住宅では、バルコニー等の形態の工夫により、公共空間（道路や公園等）から洗濯物などが見えにくくなるように配慮する。</w:t>
            </w:r>
          </w:p>
        </w:tc>
        <w:tc>
          <w:tcPr>
            <w:tcW w:w="1128" w:type="dxa"/>
            <w:gridSpan w:val="2"/>
            <w:tcBorders>
              <w:top w:val="single" w:color="auto" w:sz="6" w:space="0"/>
              <w:left w:val="single" w:color="auto" w:sz="8" w:space="0"/>
              <w:bottom w:val="single" w:color="auto" w:sz="6" w:space="0"/>
              <w:right w:val="single" w:color="auto" w:sz="8"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64"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屋外階段は、建築物本体との一体感や調和に配慮する。</w:t>
            </w:r>
          </w:p>
        </w:tc>
        <w:tc>
          <w:tcPr>
            <w:tcW w:w="1128" w:type="dxa"/>
            <w:gridSpan w:val="2"/>
            <w:tcBorders>
              <w:top w:val="single" w:color="auto" w:sz="6" w:space="0"/>
              <w:left w:val="single" w:color="auto" w:sz="8" w:space="0"/>
              <w:bottom w:val="single" w:color="auto" w:sz="6" w:space="0"/>
              <w:right w:val="single" w:color="auto" w:sz="8"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618"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none" w:color="auto" w:sz="0" w:space="0"/>
              <w:right w:val="single" w:color="auto" w:sz="8" w:space="0"/>
              <w:tl2br w:val="none" w:color="auto" w:sz="0" w:space="0"/>
              <w:tr2bl w:val="none" w:color="auto" w:sz="0" w:space="0"/>
            </w:tcBorders>
            <w:vAlign w:val="center"/>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屋外に設置される建築設備等については、公共空間（道路や公園等）から目立たないような場所への設置や目隠しの設置について配慮する。</w:t>
            </w:r>
          </w:p>
        </w:tc>
        <w:tc>
          <w:tcPr>
            <w:tcW w:w="1128" w:type="dxa"/>
            <w:gridSpan w:val="2"/>
            <w:tcBorders>
              <w:top w:val="single" w:color="auto" w:sz="6" w:space="0"/>
              <w:left w:val="single" w:color="auto" w:sz="8" w:space="0"/>
              <w:bottom w:val="single" w:color="auto" w:sz="6" w:space="0"/>
              <w:right w:val="single" w:color="auto" w:sz="8"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221"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4" w:space="0"/>
              <w:left w:val="single" w:color="auto" w:sz="6" w:space="0"/>
              <w:bottom w:val="single" w:color="auto" w:sz="6" w:space="0"/>
              <w:right w:val="single" w:color="auto" w:sz="8" w:space="0"/>
              <w:tl2br w:val="none" w:color="auto" w:sz="0" w:space="0"/>
              <w:tr2bl w:val="none" w:color="auto" w:sz="0" w:space="0"/>
            </w:tcBorders>
            <w:vAlign w:val="center"/>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自然素材の使用に努める。</w:t>
            </w:r>
          </w:p>
        </w:tc>
        <w:tc>
          <w:tcPr>
            <w:tcW w:w="1128" w:type="dxa"/>
            <w:gridSpan w:val="2"/>
            <w:tcBorders>
              <w:top w:val="single" w:color="auto" w:sz="6" w:space="0"/>
              <w:left w:val="single" w:color="auto" w:sz="8" w:space="0"/>
              <w:bottom w:val="single" w:color="auto" w:sz="6" w:space="0"/>
              <w:right w:val="single" w:color="auto" w:sz="8"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221"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il"/>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4" w:space="0"/>
              <w:left w:val="single" w:color="auto" w:sz="6" w:space="0"/>
              <w:bottom w:val="single" w:color="auto" w:sz="6" w:space="0"/>
              <w:right w:val="single" w:color="auto" w:sz="8" w:space="0"/>
              <w:tl2br w:val="none" w:color="auto" w:sz="0" w:space="0"/>
              <w:tr2bl w:val="none" w:color="auto" w:sz="0" w:space="0"/>
            </w:tcBorders>
            <w:vAlign w:val="center"/>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建築物には、勾配屋根を用いること、軒や庇の位置を周囲の建物と合わせることなどにより、和の雰囲気を演出するとともに、周囲のまち並みとの調和に努める。</w:t>
            </w:r>
          </w:p>
        </w:tc>
        <w:tc>
          <w:tcPr>
            <w:tcW w:w="1128" w:type="dxa"/>
            <w:gridSpan w:val="2"/>
            <w:tcBorders>
              <w:top w:val="single" w:color="auto" w:sz="6" w:space="0"/>
              <w:left w:val="single" w:color="auto" w:sz="8" w:space="0"/>
              <w:bottom w:val="single" w:color="auto" w:sz="6" w:space="0"/>
              <w:right w:val="single" w:color="auto" w:sz="8"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60"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493" w:type="dxa"/>
            <w:vMerge w:val="restart"/>
            <w:tcBorders>
              <w:top w:val="nil"/>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493"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色彩の基準</w:t>
            </w:r>
          </w:p>
        </w:tc>
        <w:tc>
          <w:tcPr>
            <w:tcW w:w="6301"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spacing w:before="55" w:beforeLines="20" w:beforeAutospacing="0" w:after="55" w:afterLines="20" w:afterAutospacing="0" w:line="280" w:lineRule="exact"/>
              <w:ind w:left="444" w:leftChars="2" w:hanging="440" w:hangingChars="200"/>
              <w:jc w:val="left"/>
              <w:rPr>
                <w:rFonts w:hint="default" w:ascii="ＭＳ 明朝" w:hAnsi="ＭＳ 明朝"/>
                <w:sz w:val="22"/>
              </w:rPr>
            </w:pPr>
            <w:r>
              <w:rPr>
                <w:rFonts w:hint="eastAsia" w:ascii="ＭＳ 明朝" w:hAnsi="ＭＳ 明朝"/>
                <w:sz w:val="22"/>
              </w:rPr>
              <w:t>○　建築物の外壁や工作物の外観を構成するものの色彩は、周囲のまち並みや環境との調和を図るとともに、表</w:t>
            </w:r>
            <w:r>
              <w:rPr>
                <w:rFonts w:hint="eastAsia" w:ascii="ＭＳ 明朝" w:hAnsi="ＭＳ 明朝"/>
                <w:sz w:val="22"/>
              </w:rPr>
              <w:t>1</w:t>
            </w:r>
            <w:r>
              <w:rPr>
                <w:rFonts w:hint="eastAsia" w:ascii="ＭＳ 明朝" w:hAnsi="ＭＳ 明朝"/>
                <w:sz w:val="22"/>
              </w:rPr>
              <w:t>のとおりとする。</w:t>
            </w:r>
          </w:p>
        </w:tc>
        <w:tc>
          <w:tcPr>
            <w:tcW w:w="1128" w:type="dxa"/>
            <w:gridSpan w:val="2"/>
            <w:tcBorders>
              <w:top w:val="single" w:color="auto" w:sz="6" w:space="0"/>
              <w:left w:val="single" w:color="auto" w:sz="8" w:space="0"/>
              <w:bottom w:val="single" w:color="auto" w:sz="6"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ind w:left="440" w:hanging="440" w:hangingChars="200"/>
              <w:jc w:val="center"/>
              <w:rPr>
                <w:rFonts w:hint="default" w:ascii="ＭＳ 明朝" w:hAnsi="ＭＳ 明朝"/>
                <w:sz w:val="22"/>
              </w:rPr>
            </w:pPr>
            <w:r>
              <w:rPr>
                <w:rFonts w:hint="eastAsia" w:ascii="ＭＳ 明朝" w:hAnsi="ＭＳ 明朝"/>
                <w:sz w:val="22"/>
              </w:rPr>
              <w:t>□</w:t>
            </w:r>
          </w:p>
        </w:tc>
      </w:tr>
      <w:tr>
        <w:trPr>
          <w:trHeight w:val="827"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49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49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none" w:color="auto" w:sz="0" w:space="0"/>
              <w:right w:val="single" w:color="auto" w:sz="8" w:space="0"/>
              <w:tl2br w:val="none" w:color="auto" w:sz="0" w:space="0"/>
              <w:tr2bl w:val="none" w:color="auto" w:sz="0" w:space="0"/>
            </w:tcBorders>
            <w:vAlign w:val="center"/>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各立面につき、当該面積の</w:t>
            </w:r>
            <w:r>
              <w:rPr>
                <w:rFonts w:hint="eastAsia" w:ascii="ＭＳ 明朝" w:hAnsi="ＭＳ 明朝"/>
                <w:sz w:val="22"/>
              </w:rPr>
              <w:t>10</w:t>
            </w:r>
            <w:r>
              <w:rPr>
                <w:rFonts w:hint="eastAsia" w:ascii="ＭＳ 明朝" w:hAnsi="ＭＳ 明朝"/>
                <w:sz w:val="22"/>
              </w:rPr>
              <w:t>分の１以下の範囲内でアクセント色として着色される部分の色彩については、表</w:t>
            </w:r>
            <w:r>
              <w:rPr>
                <w:rFonts w:hint="eastAsia" w:ascii="ＭＳ 明朝" w:hAnsi="ＭＳ 明朝"/>
                <w:sz w:val="22"/>
              </w:rPr>
              <w:t>1</w:t>
            </w:r>
            <w:r>
              <w:rPr>
                <w:rFonts w:hint="eastAsia" w:ascii="ＭＳ 明朝" w:hAnsi="ＭＳ 明朝"/>
                <w:sz w:val="22"/>
              </w:rPr>
              <w:t>は適用しない。</w:t>
            </w:r>
          </w:p>
        </w:tc>
        <w:tc>
          <w:tcPr>
            <w:tcW w:w="1128" w:type="dxa"/>
            <w:gridSpan w:val="2"/>
            <w:tcBorders>
              <w:top w:val="single" w:color="auto" w:sz="6" w:space="0"/>
              <w:left w:val="single" w:color="auto" w:sz="8" w:space="0"/>
              <w:bottom w:val="single" w:color="auto" w:sz="6"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729"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49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49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建築物の外壁や工作物の外観を構成するものは、落ち着きのある色調を基本とする。</w:t>
            </w:r>
          </w:p>
        </w:tc>
        <w:tc>
          <w:tcPr>
            <w:tcW w:w="1128" w:type="dxa"/>
            <w:gridSpan w:val="2"/>
            <w:tcBorders>
              <w:top w:val="single" w:color="auto" w:sz="6" w:space="0"/>
              <w:left w:val="single" w:color="auto" w:sz="8" w:space="0"/>
              <w:bottom w:val="single" w:color="auto" w:sz="6"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1037"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49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49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shd w:val="clear" w:color="auto" w:fill="F1DED1"/>
              </w:rPr>
            </w:pPr>
            <w:r>
              <w:rPr>
                <w:rFonts w:hint="eastAsia" w:ascii="ＭＳ 明朝" w:hAnsi="ＭＳ 明朝"/>
                <w:sz w:val="22"/>
              </w:rPr>
              <w:t>〇　多色使い又はアクセント色の使用に際しては、使用する色彩相互の調和、使用する色の数や面積等のバランスに十分配慮する。</w:t>
            </w:r>
          </w:p>
        </w:tc>
        <w:tc>
          <w:tcPr>
            <w:tcW w:w="1128" w:type="dxa"/>
            <w:gridSpan w:val="2"/>
            <w:tcBorders>
              <w:top w:val="single" w:color="auto" w:sz="6" w:space="0"/>
              <w:left w:val="single" w:color="auto" w:sz="8" w:space="0"/>
              <w:bottom w:val="single" w:color="auto" w:sz="6"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950"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49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49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spacing w:before="55" w:beforeLines="20" w:beforeAutospacing="0" w:after="55" w:afterLines="20" w:afterAutospacing="0" w:line="280" w:lineRule="exact"/>
              <w:ind w:left="459" w:leftChars="9" w:hanging="440" w:hangingChars="200"/>
              <w:jc w:val="left"/>
              <w:rPr>
                <w:rFonts w:hint="default" w:ascii="ＭＳ 明朝" w:hAnsi="ＭＳ 明朝"/>
                <w:sz w:val="22"/>
              </w:rPr>
            </w:pPr>
            <w:r>
              <w:rPr>
                <w:rFonts w:hint="eastAsia" w:ascii="ＭＳ 明朝" w:hAnsi="ＭＳ 明朝"/>
                <w:sz w:val="22"/>
              </w:rPr>
              <w:t>○　着色していない木材、土壁（漆喰仕上げを含む）、石材、ガラス、金属等の材料によって仕上げられる部分の色彩は、表</w:t>
            </w:r>
            <w:r>
              <w:rPr>
                <w:rFonts w:hint="eastAsia" w:ascii="ＭＳ 明朝" w:hAnsi="ＭＳ 明朝"/>
                <w:sz w:val="22"/>
              </w:rPr>
              <w:t>1</w:t>
            </w:r>
            <w:r>
              <w:rPr>
                <w:rFonts w:hint="eastAsia" w:ascii="ＭＳ 明朝" w:hAnsi="ＭＳ 明朝"/>
                <w:sz w:val="22"/>
              </w:rPr>
              <w:t>は適用しない。</w:t>
            </w:r>
          </w:p>
        </w:tc>
        <w:tc>
          <w:tcPr>
            <w:tcW w:w="1128" w:type="dxa"/>
            <w:gridSpan w:val="2"/>
            <w:tcBorders>
              <w:top w:val="single" w:color="auto" w:sz="6" w:space="0"/>
              <w:left w:val="single" w:color="auto" w:sz="8" w:space="0"/>
              <w:bottom w:val="single" w:color="auto" w:sz="6"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709"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493"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493"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他の法令により定められた色彩については、この制限を受けないものとする。</w:t>
            </w:r>
          </w:p>
        </w:tc>
        <w:tc>
          <w:tcPr>
            <w:tcW w:w="1128" w:type="dxa"/>
            <w:gridSpan w:val="2"/>
            <w:tcBorders>
              <w:top w:val="single" w:color="auto" w:sz="6" w:space="0"/>
              <w:left w:val="single" w:color="auto" w:sz="8" w:space="0"/>
              <w:bottom w:val="single" w:color="auto" w:sz="6"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668" w:hRule="atLeast"/>
        </w:trPr>
        <w:tc>
          <w:tcPr>
            <w:tcW w:w="426" w:type="dxa"/>
            <w:vMerge w:val="restart"/>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r>
              <w:rPr>
                <w:rFonts w:hint="eastAsia" w:ascii="ＭＳ 明朝" w:hAnsi="ＭＳ 明朝"/>
                <w:sz w:val="22"/>
              </w:rPr>
              <w:t>建築物及び工作物に関する基準</w:t>
            </w:r>
          </w:p>
        </w:tc>
        <w:tc>
          <w:tcPr>
            <w:tcW w:w="986"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門塀・擁壁等</w:t>
            </w:r>
          </w:p>
        </w:tc>
        <w:tc>
          <w:tcPr>
            <w:tcW w:w="6380" w:type="dxa"/>
            <w:gridSpan w:val="2"/>
            <w:tcBorders>
              <w:top w:val="single" w:color="auto" w:sz="6" w:space="0"/>
              <w:left w:val="single" w:color="auto" w:sz="6"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ind w:left="440" w:hanging="440" w:hangingChars="200"/>
              <w:jc w:val="left"/>
              <w:rPr>
                <w:rFonts w:hint="default" w:ascii="ＭＳ 明朝" w:hAnsi="ＭＳ 明朝"/>
                <w:sz w:val="22"/>
              </w:rPr>
            </w:pPr>
            <w:r>
              <w:rPr>
                <w:rFonts w:hint="eastAsia" w:ascii="ＭＳ 明朝" w:hAnsi="ＭＳ 明朝"/>
                <w:sz w:val="22"/>
              </w:rPr>
              <w:t>○　門塀・柵は周囲のまち並みとの連続性に配慮する。</w:t>
            </w:r>
          </w:p>
        </w:tc>
        <w:tc>
          <w:tcPr>
            <w:tcW w:w="1049" w:type="dxa"/>
            <w:tcBorders>
              <w:top w:val="single" w:color="auto" w:sz="6"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shd w:val="clear" w:color="auto" w:fill="F3E6CA"/>
              </w:rPr>
            </w:pPr>
            <w:r>
              <w:rPr>
                <w:rFonts w:hint="eastAsia" w:ascii="ＭＳ 明朝" w:hAnsi="ＭＳ 明朝"/>
                <w:sz w:val="22"/>
              </w:rPr>
              <w:t>□</w:t>
            </w:r>
          </w:p>
        </w:tc>
      </w:tr>
      <w:tr>
        <w:trPr>
          <w:trHeight w:val="667"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986" w:type="dxa"/>
            <w:gridSpan w:val="2"/>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80" w:type="dxa"/>
            <w:gridSpan w:val="2"/>
            <w:tcBorders>
              <w:top w:val="single" w:color="auto" w:sz="6" w:space="0"/>
              <w:left w:val="single" w:color="auto" w:sz="6"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ind w:left="440" w:hanging="440" w:hangingChars="200"/>
              <w:jc w:val="left"/>
              <w:rPr>
                <w:rFonts w:hint="default" w:ascii="ＭＳ 明朝" w:hAnsi="ＭＳ 明朝"/>
                <w:sz w:val="22"/>
              </w:rPr>
            </w:pPr>
            <w:r>
              <w:rPr>
                <w:rFonts w:hint="eastAsia" w:ascii="ＭＳ 明朝" w:hAnsi="ＭＳ 明朝"/>
                <w:sz w:val="22"/>
              </w:rPr>
              <w:t>○　集合住宅において、壁面を後退させた場合は、道路境界との間に生垣や植栽などの緑化を施すなど、まち並みの連続性に配慮する。</w:t>
            </w:r>
          </w:p>
        </w:tc>
        <w:tc>
          <w:tcPr>
            <w:tcW w:w="1049"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915"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98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形態・意匠への配慮・工夫事項の説明</w:t>
            </w:r>
          </w:p>
        </w:tc>
        <w:tc>
          <w:tcPr>
            <w:tcW w:w="7429" w:type="dxa"/>
            <w:gridSpan w:val="3"/>
            <w:tcBorders>
              <w:top w:val="none" w:color="auto" w:sz="0" w:space="0"/>
              <w:left w:val="single" w:color="auto" w:sz="6" w:space="0"/>
              <w:bottom w:val="single" w:color="auto" w:sz="6" w:space="0"/>
              <w:right w:val="single" w:color="auto" w:sz="8" w:space="0"/>
              <w:tl2br w:val="none" w:color="auto" w:sz="0" w:space="0"/>
              <w:tr2bl w:val="none" w:color="auto" w:sz="0" w:space="0"/>
            </w:tcBorders>
            <w:vAlign w:val="top"/>
          </w:tcPr>
          <w:p>
            <w:pPr>
              <w:pStyle w:val="0"/>
              <w:spacing w:before="82" w:beforeLines="30" w:beforeAutospacing="0" w:after="82" w:afterLines="30" w:afterAutospacing="0" w:line="280" w:lineRule="exact"/>
              <w:rPr>
                <w:rFonts w:hint="default" w:ascii="ＭＳ 明朝" w:hAnsi="ＭＳ 明朝"/>
                <w:sz w:val="22"/>
                <w:shd w:val="clear" w:color="auto" w:fill="F3E6CA"/>
              </w:rPr>
            </w:pPr>
          </w:p>
          <w:p>
            <w:pPr>
              <w:pStyle w:val="0"/>
              <w:spacing w:before="82" w:beforeLines="30" w:beforeAutospacing="0" w:after="82" w:afterLines="30" w:afterAutospacing="0" w:line="280" w:lineRule="exact"/>
              <w:rPr>
                <w:rFonts w:hint="default" w:ascii="ＭＳ 明朝" w:hAnsi="ＭＳ 明朝"/>
                <w:sz w:val="22"/>
                <w:shd w:val="clear" w:color="auto" w:fill="F3E6CA"/>
              </w:rPr>
            </w:pPr>
          </w:p>
          <w:p>
            <w:pPr>
              <w:pStyle w:val="0"/>
              <w:spacing w:before="82" w:beforeLines="30" w:beforeAutospacing="0" w:after="82" w:afterLines="30" w:afterAutospacing="0" w:line="280" w:lineRule="exact"/>
              <w:rPr>
                <w:rFonts w:hint="default" w:ascii="ＭＳ 明朝" w:hAnsi="ＭＳ 明朝"/>
                <w:sz w:val="22"/>
                <w:shd w:val="clear" w:color="auto" w:fill="F3E6CA"/>
              </w:rPr>
            </w:pPr>
          </w:p>
          <w:p>
            <w:pPr>
              <w:pStyle w:val="0"/>
              <w:spacing w:before="82" w:beforeLines="30" w:beforeAutospacing="0" w:after="82" w:afterLines="30" w:afterAutospacing="0" w:line="280" w:lineRule="exact"/>
              <w:rPr>
                <w:rFonts w:hint="default" w:ascii="ＭＳ 明朝" w:hAnsi="ＭＳ 明朝"/>
                <w:sz w:val="22"/>
                <w:shd w:val="clear" w:color="auto" w:fill="F3E6CA"/>
              </w:rPr>
            </w:pPr>
          </w:p>
          <w:p>
            <w:pPr>
              <w:pStyle w:val="0"/>
              <w:spacing w:before="82" w:beforeLines="30" w:beforeAutospacing="0" w:after="82" w:afterLines="30" w:afterAutospacing="0" w:line="280" w:lineRule="exact"/>
              <w:rPr>
                <w:rFonts w:hint="default" w:ascii="ＭＳ 明朝" w:hAnsi="ＭＳ 明朝"/>
                <w:sz w:val="22"/>
                <w:shd w:val="clear" w:color="auto" w:fill="F3E6CA"/>
              </w:rPr>
            </w:pPr>
          </w:p>
          <w:p>
            <w:pPr>
              <w:pStyle w:val="0"/>
              <w:spacing w:before="82" w:beforeLines="30" w:beforeAutospacing="0" w:after="82" w:afterLines="30" w:afterAutospacing="0" w:line="280" w:lineRule="exact"/>
              <w:rPr>
                <w:rFonts w:hint="default" w:ascii="ＭＳ 明朝" w:hAnsi="ＭＳ 明朝"/>
                <w:sz w:val="22"/>
                <w:shd w:val="clear" w:color="auto" w:fill="F3E6CA"/>
              </w:rPr>
            </w:pPr>
          </w:p>
          <w:p>
            <w:pPr>
              <w:pStyle w:val="0"/>
              <w:spacing w:before="82" w:beforeLines="30" w:beforeAutospacing="0" w:after="82" w:afterLines="30" w:afterAutospacing="0" w:line="280" w:lineRule="exact"/>
              <w:rPr>
                <w:rFonts w:hint="default" w:ascii="ＭＳ 明朝" w:hAnsi="ＭＳ 明朝"/>
                <w:sz w:val="22"/>
                <w:shd w:val="clear" w:color="auto" w:fill="F3E6CA"/>
              </w:rPr>
            </w:pPr>
          </w:p>
          <w:p>
            <w:pPr>
              <w:pStyle w:val="0"/>
              <w:spacing w:before="82" w:beforeLines="30" w:beforeAutospacing="0" w:after="82" w:afterLines="30" w:afterAutospacing="0" w:line="280" w:lineRule="exact"/>
              <w:rPr>
                <w:rFonts w:hint="default" w:ascii="ＭＳ 明朝" w:hAnsi="ＭＳ 明朝"/>
                <w:sz w:val="22"/>
                <w:shd w:val="clear" w:color="auto" w:fill="F3E6CA"/>
              </w:rPr>
            </w:pPr>
          </w:p>
          <w:p>
            <w:pPr>
              <w:pStyle w:val="0"/>
              <w:spacing w:before="82" w:beforeLines="30" w:beforeAutospacing="0" w:after="82" w:afterLines="30" w:afterAutospacing="0" w:line="280" w:lineRule="exact"/>
              <w:rPr>
                <w:rFonts w:hint="default" w:ascii="ＭＳ 明朝" w:hAnsi="ＭＳ 明朝"/>
                <w:sz w:val="22"/>
                <w:shd w:val="clear" w:color="auto" w:fill="F3E6CA"/>
              </w:rPr>
            </w:pPr>
          </w:p>
        </w:tc>
      </w:tr>
      <w:tr>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98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仮設物</w:t>
            </w:r>
          </w:p>
        </w:tc>
        <w:tc>
          <w:tcPr>
            <w:tcW w:w="6301"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仮囲い等の工事用仮設物や仮設建築物などは、歩行者の快適性を考慮するとともに、良好な景観を損なわないように、設置場所、形態、色彩等に配慮する。</w:t>
            </w:r>
          </w:p>
        </w:tc>
        <w:tc>
          <w:tcPr>
            <w:tcW w:w="1128" w:type="dxa"/>
            <w:gridSpan w:val="2"/>
            <w:tcBorders>
              <w:top w:val="single" w:color="auto" w:sz="6" w:space="0"/>
              <w:left w:val="single" w:color="auto" w:sz="8" w:space="0"/>
              <w:bottom w:val="single" w:color="auto" w:sz="6"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ind w:left="440" w:hanging="440" w:hangingChars="200"/>
              <w:jc w:val="center"/>
              <w:rPr>
                <w:rFonts w:hint="default" w:ascii="ＭＳ 明朝" w:hAnsi="ＭＳ 明朝"/>
                <w:sz w:val="22"/>
                <w:shd w:val="clear" w:color="auto" w:fill="F3E6CA"/>
              </w:rPr>
            </w:pPr>
            <w:r>
              <w:rPr>
                <w:rFonts w:hint="eastAsia" w:ascii="ＭＳ 明朝" w:hAnsi="ＭＳ 明朝"/>
                <w:sz w:val="22"/>
              </w:rPr>
              <w:t>□</w:t>
            </w:r>
          </w:p>
        </w:tc>
      </w:tr>
      <w:tr>
        <w:trPr>
          <w:trHeight w:val="485" w:hRule="atLeast"/>
        </w:trPr>
        <w:tc>
          <w:tcPr>
            <w:tcW w:w="426" w:type="dxa"/>
            <w:vMerge w:val="restart"/>
            <w:tcBorders>
              <w:top w:val="single" w:color="auto" w:sz="6"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r>
              <w:rPr>
                <w:rFonts w:hint="eastAsia" w:ascii="ＭＳ 明朝" w:hAnsi="ＭＳ 明朝"/>
                <w:sz w:val="22"/>
              </w:rPr>
              <w:t>その他の基準</w:t>
            </w:r>
          </w:p>
        </w:tc>
        <w:tc>
          <w:tcPr>
            <w:tcW w:w="986"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夜間</w:t>
            </w:r>
          </w:p>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景観</w:t>
            </w:r>
          </w:p>
        </w:tc>
        <w:tc>
          <w:tcPr>
            <w:tcW w:w="6301"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住環境の安全性の向上に配慮し、良質な夜間景観を演出するよう努める。</w:t>
            </w:r>
          </w:p>
        </w:tc>
        <w:tc>
          <w:tcPr>
            <w:tcW w:w="1128" w:type="dxa"/>
            <w:gridSpan w:val="2"/>
            <w:tcBorders>
              <w:top w:val="single" w:color="auto" w:sz="6" w:space="0"/>
              <w:left w:val="single" w:color="auto" w:sz="8" w:space="0"/>
              <w:bottom w:val="single" w:color="auto" w:sz="6"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485"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spacing w:before="55" w:beforeLines="20" w:beforeAutospacing="0" w:after="55" w:afterLines="20" w:afterAutospacing="0" w:line="280" w:lineRule="exact"/>
              <w:ind w:left="444" w:leftChars="2" w:hanging="440" w:hangingChars="200"/>
              <w:jc w:val="left"/>
              <w:rPr>
                <w:rFonts w:hint="default" w:ascii="ＭＳ 明朝" w:hAnsi="ＭＳ 明朝"/>
                <w:sz w:val="22"/>
              </w:rPr>
            </w:pPr>
            <w:r>
              <w:rPr>
                <w:rFonts w:hint="eastAsia" w:ascii="ＭＳ 明朝" w:hAnsi="ＭＳ 明朝"/>
                <w:sz w:val="22"/>
              </w:rPr>
              <w:t>○　屋外の照明は、周辺環境に配慮し過剰な光が周囲に拡散しないように配慮する。</w:t>
            </w:r>
          </w:p>
        </w:tc>
        <w:tc>
          <w:tcPr>
            <w:tcW w:w="1128" w:type="dxa"/>
            <w:gridSpan w:val="2"/>
            <w:tcBorders>
              <w:top w:val="single" w:color="auto" w:sz="6" w:space="0"/>
              <w:left w:val="single" w:color="auto" w:sz="8" w:space="0"/>
              <w:bottom w:val="single" w:color="auto" w:sz="6"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780"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屋外の照明は、建築物や工作物の形態・意匠や用途に合わせ、それぞれにふさわしい色温度となるように配慮する。</w:t>
            </w:r>
          </w:p>
        </w:tc>
        <w:tc>
          <w:tcPr>
            <w:tcW w:w="1128" w:type="dxa"/>
            <w:gridSpan w:val="2"/>
            <w:tcBorders>
              <w:top w:val="single" w:color="auto" w:sz="6" w:space="0"/>
              <w:left w:val="single" w:color="auto" w:sz="8" w:space="0"/>
              <w:bottom w:val="single" w:color="auto" w:sz="6"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291"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986"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屋外</w:t>
            </w:r>
          </w:p>
          <w:p>
            <w:pPr>
              <w:pStyle w:val="0"/>
              <w:spacing w:before="82" w:beforeLines="30" w:beforeAutospacing="0" w:after="82" w:afterLines="30" w:afterAutospacing="0" w:line="280" w:lineRule="exact"/>
              <w:jc w:val="center"/>
              <w:rPr>
                <w:rFonts w:hint="default" w:ascii="ＭＳ 明朝" w:hAnsi="ＭＳ 明朝"/>
                <w:sz w:val="22"/>
                <w:shd w:val="clear" w:color="auto" w:fill="F3E6CA"/>
              </w:rPr>
            </w:pPr>
            <w:r>
              <w:rPr>
                <w:rFonts w:hint="eastAsia" w:ascii="ＭＳ 明朝" w:hAnsi="ＭＳ 明朝"/>
                <w:sz w:val="22"/>
              </w:rPr>
              <w:t>広告物</w:t>
            </w:r>
          </w:p>
        </w:tc>
        <w:tc>
          <w:tcPr>
            <w:tcW w:w="6301"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spacing w:before="55" w:beforeLines="20" w:beforeAutospacing="0" w:after="55" w:afterLines="20" w:afterAutospacing="0" w:line="280" w:lineRule="exact"/>
              <w:ind w:left="459" w:leftChars="9" w:hanging="440" w:hangingChars="200"/>
              <w:jc w:val="left"/>
              <w:rPr>
                <w:rFonts w:hint="default" w:ascii="ＭＳ 明朝" w:hAnsi="ＭＳ 明朝"/>
                <w:sz w:val="22"/>
              </w:rPr>
            </w:pPr>
            <w:r>
              <w:rPr>
                <w:rFonts w:hint="eastAsia" w:ascii="ＭＳ 明朝" w:hAnsi="ＭＳ 明朝"/>
                <w:sz w:val="22"/>
              </w:rPr>
              <w:t>○　川越市屋外広告物条例や関係法令を遵守する。</w:t>
            </w:r>
          </w:p>
        </w:tc>
        <w:tc>
          <w:tcPr>
            <w:tcW w:w="1128" w:type="dxa"/>
            <w:gridSpan w:val="2"/>
            <w:tcBorders>
              <w:top w:val="single" w:color="auto" w:sz="6"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290"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spacing w:before="55" w:beforeLines="20" w:beforeAutospacing="0" w:after="55" w:afterLines="20" w:afterAutospacing="0" w:line="280" w:lineRule="exact"/>
              <w:ind w:left="459" w:leftChars="9" w:hanging="440" w:hangingChars="200"/>
              <w:jc w:val="left"/>
              <w:rPr>
                <w:rFonts w:hint="default" w:ascii="ＭＳ 明朝" w:hAnsi="ＭＳ 明朝"/>
                <w:sz w:val="22"/>
              </w:rPr>
            </w:pPr>
            <w:r>
              <w:rPr>
                <w:rFonts w:hint="eastAsia" w:ascii="ＭＳ 明朝" w:hAnsi="ＭＳ 明朝"/>
                <w:sz w:val="22"/>
              </w:rPr>
              <w:t>○　屋外広告物の形態・大きさ・色彩・取り付け位置等は、まち並みに調和したものとする。</w:t>
            </w:r>
          </w:p>
        </w:tc>
        <w:tc>
          <w:tcPr>
            <w:tcW w:w="1128" w:type="dxa"/>
            <w:gridSpan w:val="2"/>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290"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shd w:val="clear" w:color="auto" w:fill="F3E6CA"/>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spacing w:before="55" w:beforeLines="20" w:beforeAutospacing="0" w:after="55" w:afterLines="20" w:afterAutospacing="0" w:line="280" w:lineRule="exact"/>
              <w:ind w:left="459" w:leftChars="9" w:hanging="440" w:hangingChars="200"/>
              <w:jc w:val="left"/>
              <w:rPr>
                <w:rFonts w:hint="default" w:ascii="ＭＳ 明朝" w:hAnsi="ＭＳ 明朝"/>
                <w:sz w:val="22"/>
              </w:rPr>
            </w:pPr>
            <w:r>
              <w:rPr>
                <w:rFonts w:hint="eastAsia" w:ascii="ＭＳ 明朝" w:hAnsi="ＭＳ 明朝"/>
                <w:sz w:val="22"/>
              </w:rPr>
              <w:t>○　大規模な広告物は禁止する。</w:t>
            </w:r>
          </w:p>
        </w:tc>
        <w:tc>
          <w:tcPr>
            <w:tcW w:w="1128" w:type="dxa"/>
            <w:gridSpan w:val="2"/>
            <w:tcBorders>
              <w:top w:val="none" w:color="auto" w:sz="0" w:space="0"/>
              <w:left w:val="single" w:color="auto" w:sz="8" w:space="0"/>
              <w:bottom w:val="single" w:color="auto" w:sz="6"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117"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restart"/>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緑化等</w:t>
            </w:r>
          </w:p>
        </w:tc>
        <w:tc>
          <w:tcPr>
            <w:tcW w:w="6301"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spacing w:before="55" w:beforeLines="20" w:beforeAutospacing="0" w:after="55" w:afterLines="20" w:afterAutospacing="0" w:line="280" w:lineRule="exact"/>
              <w:jc w:val="left"/>
              <w:rPr>
                <w:rFonts w:hint="default" w:ascii="ＭＳ 明朝" w:hAnsi="ＭＳ 明朝"/>
                <w:sz w:val="22"/>
              </w:rPr>
            </w:pPr>
            <w:r>
              <w:rPr>
                <w:rFonts w:hint="eastAsia" w:ascii="ＭＳ 明朝" w:hAnsi="ＭＳ 明朝"/>
                <w:sz w:val="22"/>
              </w:rPr>
              <w:t>○　大樹や古木の保全に努める。</w:t>
            </w:r>
          </w:p>
        </w:tc>
        <w:tc>
          <w:tcPr>
            <w:tcW w:w="1128" w:type="dxa"/>
            <w:gridSpan w:val="2"/>
            <w:tcBorders>
              <w:top w:val="single" w:color="auto" w:sz="6"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113"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既存樹木については、適切に管理し、できる限り保存し活かす。</w:t>
            </w:r>
          </w:p>
        </w:tc>
        <w:tc>
          <w:tcPr>
            <w:tcW w:w="1128" w:type="dxa"/>
            <w:gridSpan w:val="2"/>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113"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公共空間（道路や河川、公園等）に接する部分については、緑化を図るなど、空間のつながり方に配慮する。</w:t>
            </w:r>
          </w:p>
        </w:tc>
        <w:tc>
          <w:tcPr>
            <w:tcW w:w="1128" w:type="dxa"/>
            <w:gridSpan w:val="2"/>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113"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角地やアイストップとなる場所では、特徴的なまちかどとなるように植栽等を工夫する。</w:t>
            </w:r>
          </w:p>
        </w:tc>
        <w:tc>
          <w:tcPr>
            <w:tcW w:w="1128" w:type="dxa"/>
            <w:gridSpan w:val="2"/>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113"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規模の大きな敷地は、積極的に緑化に努める。</w:t>
            </w:r>
          </w:p>
        </w:tc>
        <w:tc>
          <w:tcPr>
            <w:tcW w:w="1128" w:type="dxa"/>
            <w:gridSpan w:val="2"/>
            <w:tcBorders>
              <w:top w:val="none" w:color="auto" w:sz="0" w:space="0"/>
              <w:left w:val="single" w:color="auto" w:sz="8" w:space="0"/>
              <w:bottom w:val="single" w:color="auto" w:sz="6"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424"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緑化のための空間を確保するため、敷地の細分化はなるべく避け、やむなく細分化を行う場合であっても道路に面する部分に緑化のための空間を確保するよう努める。</w:t>
            </w:r>
          </w:p>
        </w:tc>
        <w:tc>
          <w:tcPr>
            <w:tcW w:w="1128" w:type="dxa"/>
            <w:gridSpan w:val="2"/>
            <w:tcBorders>
              <w:top w:val="single" w:color="auto" w:sz="6" w:space="0"/>
              <w:left w:val="single" w:color="auto" w:sz="8" w:space="0"/>
              <w:bottom w:val="single" w:color="auto" w:sz="6" w:space="0"/>
              <w:right w:val="single" w:color="auto" w:sz="8"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r>
        <w:trPr>
          <w:trHeight w:val="589" w:hRule="atLeast"/>
        </w:trPr>
        <w:tc>
          <w:tcPr>
            <w:tcW w:w="426" w:type="dxa"/>
            <w:vMerge w:val="restart"/>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r>
              <w:rPr>
                <w:rFonts w:hint="eastAsia" w:ascii="ＭＳ 明朝" w:hAnsi="ＭＳ 明朝"/>
                <w:sz w:val="22"/>
              </w:rPr>
              <w:t>その他の基準</w:t>
            </w:r>
          </w:p>
        </w:tc>
        <w:tc>
          <w:tcPr>
            <w:tcW w:w="986" w:type="dxa"/>
            <w:gridSpan w:val="2"/>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緑化等</w:t>
            </w:r>
          </w:p>
        </w:tc>
        <w:tc>
          <w:tcPr>
            <w:tcW w:w="6301" w:type="dxa"/>
            <w:tcBorders>
              <w:top w:val="single" w:color="auto" w:sz="6" w:space="0"/>
              <w:left w:val="single" w:color="auto" w:sz="6" w:space="0"/>
              <w:bottom w:val="none" w:color="auto" w:sz="0" w:space="0"/>
              <w:right w:val="single" w:color="auto" w:sz="8" w:space="0"/>
              <w:tl2br w:val="none" w:color="auto" w:sz="0" w:space="0"/>
              <w:tr2bl w:val="none" w:color="auto" w:sz="0" w:space="0"/>
            </w:tcBorders>
            <w:vAlign w:val="center"/>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間口の広い敷地では、なるべく生垣を設ける。また、通りから見て、喜多院や中院の森や、住宅の敷地内の樹木により緑の連続性が生まれるように、高木や中木等を用いるなど緑化に努める。ただし、店舗等の場合はこの限りではない。</w:t>
            </w:r>
          </w:p>
        </w:tc>
        <w:tc>
          <w:tcPr>
            <w:tcW w:w="1128" w:type="dxa"/>
            <w:gridSpan w:val="2"/>
            <w:tcBorders>
              <w:top w:val="single" w:color="auto" w:sz="6"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553"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空き地・駐車場等</w:t>
            </w:r>
          </w:p>
        </w:tc>
        <w:tc>
          <w:tcPr>
            <w:tcW w:w="6301"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空き地及び屋外駐車場、駐輪場の道路に面する側は、生垣などによる緑化に努める。</w:t>
            </w:r>
          </w:p>
        </w:tc>
        <w:tc>
          <w:tcPr>
            <w:tcW w:w="1128" w:type="dxa"/>
            <w:gridSpan w:val="2"/>
            <w:tcBorders>
              <w:top w:val="single" w:color="auto" w:sz="6"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552" w:hRule="atLeast"/>
        </w:trPr>
        <w:tc>
          <w:tcPr>
            <w:tcW w:w="426" w:type="dxa"/>
            <w:vMerge w:val="continue"/>
            <w:tcBorders>
              <w:top w:val="none" w:color="auto" w:sz="0" w:space="0"/>
              <w:left w:val="single" w:color="auto" w:sz="8" w:space="0"/>
              <w:bottom w:val="none" w:color="auto" w:sz="0"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6301"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spacing w:before="55" w:beforeLines="20" w:beforeAutospacing="0" w:after="55"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空き地及び屋外駐車場においては、管理を徹底する。</w:t>
            </w:r>
          </w:p>
        </w:tc>
        <w:tc>
          <w:tcPr>
            <w:tcW w:w="1128" w:type="dxa"/>
            <w:gridSpan w:val="2"/>
            <w:tcBorders>
              <w:top w:val="none" w:color="auto" w:sz="0" w:space="0"/>
              <w:left w:val="single" w:color="auto" w:sz="8" w:space="0"/>
              <w:bottom w:val="single" w:color="auto" w:sz="6" w:space="0"/>
              <w:right w:val="single" w:color="auto" w:sz="8" w:space="0"/>
              <w:tl2br w:val="none" w:color="auto" w:sz="0" w:space="0"/>
              <w:tr2bl w:val="none" w:color="auto" w:sz="0" w:space="0"/>
            </w:tcBorders>
            <w:vAlign w:val="center"/>
          </w:tcPr>
          <w:p>
            <w:pPr>
              <w:pStyle w:val="0"/>
              <w:spacing w:before="30" w:beforeLines="0" w:beforeAutospacing="0" w:after="30" w:afterLines="0" w:afterAutospacing="0" w:line="280" w:lineRule="exact"/>
              <w:jc w:val="center"/>
              <w:rPr>
                <w:rFonts w:hint="default" w:ascii="ＭＳ 明朝" w:hAnsi="ＭＳ 明朝"/>
                <w:sz w:val="22"/>
              </w:rPr>
            </w:pPr>
            <w:r>
              <w:rPr>
                <w:rFonts w:hint="eastAsia" w:ascii="ＭＳ 明朝" w:hAnsi="ＭＳ 明朝"/>
                <w:sz w:val="22"/>
              </w:rPr>
              <w:t>□</w:t>
            </w:r>
          </w:p>
        </w:tc>
      </w:tr>
      <w:tr>
        <w:trPr>
          <w:trHeight w:val="1597" w:hRule="atLeast"/>
        </w:trPr>
        <w:tc>
          <w:tcPr>
            <w:tcW w:w="426" w:type="dxa"/>
            <w:vMerge w:val="continue"/>
            <w:tcBorders>
              <w:top w:val="none" w:color="auto" w:sz="0" w:space="0"/>
              <w:left w:val="single" w:color="auto" w:sz="8" w:space="0"/>
              <w:bottom w:val="single" w:color="auto" w:sz="8"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p>
        </w:tc>
        <w:tc>
          <w:tcPr>
            <w:tcW w:w="986" w:type="dxa"/>
            <w:gridSpan w:val="2"/>
            <w:tcBorders>
              <w:top w:val="single" w:color="auto" w:sz="6" w:space="0"/>
              <w:left w:val="single" w:color="auto" w:sz="6" w:space="0"/>
              <w:bottom w:val="single" w:color="auto" w:sz="8" w:space="0"/>
              <w:right w:val="single" w:color="auto" w:sz="6" w:space="0"/>
              <w:tl2br w:val="none" w:color="auto" w:sz="0" w:space="0"/>
              <w:tr2bl w:val="none" w:color="auto" w:sz="0" w:space="0"/>
            </w:tcBorders>
            <w:vAlign w:val="center"/>
          </w:tcPr>
          <w:p>
            <w:pPr>
              <w:pStyle w:val="0"/>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その他の基準への配慮・工夫事項の説明</w:t>
            </w:r>
          </w:p>
        </w:tc>
        <w:tc>
          <w:tcPr>
            <w:tcW w:w="7429" w:type="dxa"/>
            <w:gridSpan w:val="3"/>
            <w:tcBorders>
              <w:top w:val="single" w:color="auto" w:sz="4" w:space="0"/>
              <w:left w:val="single" w:color="auto" w:sz="6" w:space="0"/>
              <w:bottom w:val="single" w:color="auto" w:sz="8" w:space="0"/>
              <w:right w:val="single" w:color="auto" w:sz="8" w:space="0"/>
              <w:tl2br w:val="none" w:color="auto" w:sz="0" w:space="0"/>
              <w:tr2bl w:val="none" w:color="auto" w:sz="0" w:space="0"/>
            </w:tcBorders>
            <w:vAlign w:val="top"/>
          </w:tcPr>
          <w:p>
            <w:pPr>
              <w:pStyle w:val="0"/>
              <w:spacing w:before="82" w:beforeLines="30" w:beforeAutospacing="0" w:after="82" w:afterLines="30" w:afterAutospacing="0" w:line="280" w:lineRule="exact"/>
              <w:jc w:val="left"/>
              <w:rPr>
                <w:rFonts w:hint="default" w:ascii="ＭＳ 明朝" w:hAnsi="ＭＳ 明朝"/>
                <w:sz w:val="22"/>
              </w:rPr>
            </w:pPr>
          </w:p>
        </w:tc>
      </w:tr>
    </w:tbl>
    <w:p>
      <w:pPr>
        <w:pStyle w:val="0"/>
        <w:widowControl w:val="1"/>
        <w:spacing w:before="82" w:beforeLines="30" w:beforeAutospacing="0" w:after="82" w:afterLines="30" w:afterAutospacing="0" w:line="280" w:lineRule="exact"/>
        <w:jc w:val="left"/>
        <w:rPr>
          <w:rFonts w:hint="default" w:ascii="ＭＳ 明朝" w:hAnsi="ＭＳ 明朝"/>
          <w:sz w:val="22"/>
        </w:rPr>
      </w:pPr>
    </w:p>
    <w:tbl>
      <w:tblPr>
        <w:tblStyle w:val="48"/>
        <w:tblW w:w="8758" w:type="dxa"/>
        <w:tblInd w:w="0" w:type="dxa"/>
        <w:tblLayout w:type="fixed"/>
        <w:tblLook w:firstRow="1" w:lastRow="0" w:firstColumn="1" w:lastColumn="0" w:noHBand="0" w:noVBand="1" w:val="04A0"/>
      </w:tblPr>
      <w:tblGrid>
        <w:gridCol w:w="437"/>
        <w:gridCol w:w="984"/>
        <w:gridCol w:w="6310"/>
        <w:gridCol w:w="1027"/>
      </w:tblGrid>
      <w:tr>
        <w:trPr/>
        <w:tc>
          <w:tcPr>
            <w:tcW w:w="8758" w:type="dxa"/>
            <w:gridSpan w:val="4"/>
            <w:tcBorders>
              <w:top w:val="single" w:color="auto" w:sz="8" w:space="0"/>
              <w:left w:val="single" w:color="auto" w:sz="8" w:space="0"/>
              <w:bottom w:val="single" w:color="auto" w:sz="6" w:space="0"/>
              <w:right w:val="single" w:color="auto" w:sz="8" w:space="0"/>
              <w:tl2br w:val="none" w:color="auto" w:sz="0" w:space="0"/>
              <w:tr2bl w:val="none" w:color="auto" w:sz="0" w:space="0"/>
            </w:tcBorders>
            <w:vAlign w:val="top"/>
          </w:tcPr>
          <w:p>
            <w:pPr>
              <w:pStyle w:val="0"/>
              <w:widowControl w:val="1"/>
              <w:spacing w:before="82" w:beforeLines="30" w:beforeAutospacing="0" w:after="82" w:afterLines="30" w:afterAutospacing="0" w:line="280" w:lineRule="exact"/>
              <w:jc w:val="left"/>
              <w:rPr>
                <w:rFonts w:hint="default" w:ascii="ＭＳ 明朝" w:hAnsi="ＭＳ 明朝"/>
                <w:sz w:val="22"/>
              </w:rPr>
            </w:pPr>
            <w:r>
              <w:rPr>
                <w:rFonts w:hint="eastAsia" w:ascii="ＭＳ 明朝" w:hAnsi="ＭＳ 明朝"/>
                <w:sz w:val="22"/>
              </w:rPr>
              <w:t>地域が定めた自主的な規定です。景観法等に基づくものではありません。</w:t>
            </w:r>
          </w:p>
        </w:tc>
      </w:tr>
      <w:tr>
        <w:trPr/>
        <w:tc>
          <w:tcPr>
            <w:tcW w:w="437" w:type="dxa"/>
            <w:tcBorders>
              <w:top w:val="none" w:color="auto" w:sz="0" w:space="0"/>
              <w:left w:val="single" w:color="auto" w:sz="8" w:space="0"/>
              <w:bottom w:val="single" w:color="auto" w:sz="8" w:space="0"/>
              <w:right w:val="single" w:color="auto" w:sz="6" w:space="0"/>
              <w:tl2br w:val="none" w:color="auto" w:sz="0" w:space="0"/>
              <w:tr2bl w:val="none" w:color="auto" w:sz="0" w:space="0"/>
            </w:tcBorders>
            <w:vAlign w:val="top"/>
          </w:tcPr>
          <w:p>
            <w:pPr>
              <w:pStyle w:val="0"/>
              <w:widowControl w:val="1"/>
              <w:spacing w:before="82" w:beforeLines="30" w:beforeAutospacing="0" w:after="82" w:afterLines="30" w:afterAutospacing="0" w:line="280" w:lineRule="exact"/>
              <w:jc w:val="left"/>
              <w:rPr>
                <w:rFonts w:hint="default" w:ascii="ＭＳ 明朝" w:hAnsi="ＭＳ 明朝"/>
                <w:sz w:val="22"/>
              </w:rPr>
            </w:pPr>
            <w:r>
              <w:rPr>
                <w:rFonts w:hint="eastAsia" w:ascii="ＭＳ 明朝" w:hAnsi="ＭＳ 明朝"/>
                <w:sz w:val="22"/>
              </w:rPr>
              <w:t>自主規定</w:t>
            </w:r>
          </w:p>
        </w:tc>
        <w:tc>
          <w:tcPr>
            <w:tcW w:w="984" w:type="dxa"/>
            <w:tcBorders>
              <w:top w:val="single" w:color="auto" w:sz="6" w:space="0"/>
              <w:left w:val="single" w:color="auto" w:sz="6" w:space="0"/>
              <w:bottom w:val="single" w:color="auto" w:sz="8" w:space="0"/>
              <w:right w:val="single" w:color="auto" w:sz="6" w:space="0"/>
              <w:tl2br w:val="none" w:color="auto" w:sz="0" w:space="0"/>
              <w:tr2bl w:val="none" w:color="auto" w:sz="0" w:space="0"/>
            </w:tcBorders>
            <w:vAlign w:val="center"/>
          </w:tcPr>
          <w:p>
            <w:pPr>
              <w:pStyle w:val="0"/>
              <w:widowControl w:val="1"/>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事前　協議</w:t>
            </w:r>
          </w:p>
        </w:tc>
        <w:tc>
          <w:tcPr>
            <w:tcW w:w="6310" w:type="dxa"/>
            <w:tcBorders>
              <w:top w:val="single" w:color="auto" w:sz="6" w:space="0"/>
              <w:left w:val="single" w:color="auto" w:sz="6" w:space="0"/>
              <w:bottom w:val="single" w:color="auto" w:sz="8" w:space="0"/>
              <w:right w:val="single" w:color="auto" w:sz="8" w:space="0"/>
              <w:tl2br w:val="none" w:color="auto" w:sz="0" w:space="0"/>
              <w:tr2bl w:val="none" w:color="auto" w:sz="0" w:space="0"/>
            </w:tcBorders>
            <w:vAlign w:val="center"/>
          </w:tcPr>
          <w:p>
            <w:pPr>
              <w:pStyle w:val="0"/>
              <w:widowControl w:val="1"/>
              <w:adjustRightInd w:val="0"/>
              <w:spacing w:before="82" w:beforeLines="30" w:beforeAutospacing="0" w:after="82" w:afterLines="30" w:afterAutospacing="0" w:line="280" w:lineRule="exact"/>
              <w:ind w:left="440" w:hanging="440" w:hangingChars="200"/>
              <w:jc w:val="left"/>
              <w:rPr>
                <w:rFonts w:hint="default" w:ascii="ＭＳ 明朝" w:hAnsi="ＭＳ 明朝"/>
                <w:sz w:val="22"/>
              </w:rPr>
            </w:pPr>
            <w:r>
              <w:rPr>
                <w:rFonts w:hint="eastAsia" w:ascii="ＭＳ 明朝" w:hAnsi="ＭＳ 明朝"/>
                <w:sz w:val="22"/>
              </w:rPr>
              <w:t>〇　３階以上の建築物を建築しようとする場合には、行為の届出の前に地区の自治会等と都市景観形成基準に関して協議することとする。</w:t>
            </w:r>
          </w:p>
        </w:tc>
        <w:tc>
          <w:tcPr>
            <w:tcW w:w="1027" w:type="dxa"/>
            <w:tcBorders>
              <w:top w:val="single" w:color="auto" w:sz="6"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spacing w:before="82" w:beforeLines="30" w:beforeAutospacing="0" w:after="82" w:afterLines="30" w:afterAutospacing="0" w:line="280" w:lineRule="exact"/>
              <w:jc w:val="center"/>
              <w:rPr>
                <w:rFonts w:hint="default" w:ascii="ＭＳ 明朝" w:hAnsi="ＭＳ 明朝"/>
                <w:sz w:val="22"/>
              </w:rPr>
            </w:pPr>
            <w:r>
              <w:rPr>
                <w:rFonts w:hint="eastAsia" w:ascii="ＭＳ 明朝" w:hAnsi="ＭＳ 明朝"/>
                <w:sz w:val="22"/>
              </w:rPr>
              <w:t>□</w:t>
            </w:r>
          </w:p>
        </w:tc>
      </w:tr>
    </w:tbl>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r>
        <w:rPr>
          <w:rFonts w:hint="default" w:asciiTheme="majorEastAsia" w:hAnsiTheme="majorEastAsia" w:eastAsiaTheme="majorEastAsia"/>
          <w:sz w:val="20"/>
          <w:shd w:val="clear" w:color="auto" w:fill="F9E3D7"/>
        </w:rPr>
        <mc:AlternateContent>
          <mc:Choice Requires="wps">
            <w:drawing>
              <wp:anchor distT="0" distB="0" distL="114300" distR="114300" simplePos="0" relativeHeight="2" behindDoc="0" locked="0" layoutInCell="1" hidden="0" allowOverlap="1">
                <wp:simplePos x="0" y="0"/>
                <wp:positionH relativeFrom="column">
                  <wp:posOffset>-167640</wp:posOffset>
                </wp:positionH>
                <wp:positionV relativeFrom="paragraph">
                  <wp:posOffset>221615</wp:posOffset>
                </wp:positionV>
                <wp:extent cx="5661660" cy="2349500"/>
                <wp:effectExtent l="0" t="0" r="635" b="635"/>
                <wp:wrapNone/>
                <wp:docPr id="1026" name="Text Box 207"/>
                <a:graphic xmlns:a="http://schemas.openxmlformats.org/drawingml/2006/main">
                  <a:graphicData uri="http://schemas.microsoft.com/office/word/2010/wordprocessingShape">
                    <wps:wsp>
                      <wps:cNvPr id="1026" name="Text Box 207"/>
                      <wps:cNvSpPr txBox="1">
                        <a:spLocks noChangeArrowheads="1"/>
                      </wps:cNvSpPr>
                      <wps:spPr>
                        <a:xfrm>
                          <a:off x="0" y="0"/>
                          <a:ext cx="5661660" cy="2349500"/>
                        </a:xfrm>
                        <a:prstGeom prst="rect">
                          <a:avLst/>
                        </a:prstGeom>
                        <a:noFill/>
                        <a:ln>
                          <a:noFill/>
                        </a:ln>
                      </wps:spPr>
                      <wps:txbx>
                        <w:txbxContent>
                          <w:p>
                            <w:pPr>
                              <w:pStyle w:val="0"/>
                              <w:ind w:firstLine="440" w:firstLineChars="200"/>
                              <w:rPr>
                                <w:rFonts w:hint="default" w:asciiTheme="majorEastAsia" w:hAnsiTheme="majorEastAsia" w:eastAsiaTheme="majorEastAsia"/>
                                <w:sz w:val="22"/>
                              </w:rPr>
                            </w:pPr>
                            <w:r>
                              <w:rPr>
                                <w:rFonts w:hint="eastAsia" w:asciiTheme="majorEastAsia" w:hAnsiTheme="majorEastAsia" w:eastAsiaTheme="majorEastAsia"/>
                                <w:sz w:val="22"/>
                              </w:rPr>
                              <w:t>＜表</w:t>
                            </w:r>
                            <w:r>
                              <w:rPr>
                                <w:rFonts w:hint="eastAsia" w:asciiTheme="majorEastAsia" w:hAnsiTheme="majorEastAsia" w:eastAsiaTheme="majorEastAsia"/>
                                <w:sz w:val="22"/>
                              </w:rPr>
                              <w:t>1</w:t>
                            </w:r>
                            <w:r>
                              <w:rPr>
                                <w:rFonts w:hint="default" w:asciiTheme="majorEastAsia" w:hAnsiTheme="majorEastAsia" w:eastAsiaTheme="majorEastAsia"/>
                                <w:sz w:val="22"/>
                              </w:rPr>
                              <w:t>　</w:t>
                            </w:r>
                            <w:r>
                              <w:rPr>
                                <w:rFonts w:hint="eastAsia" w:asciiTheme="majorEastAsia" w:hAnsiTheme="majorEastAsia" w:eastAsiaTheme="majorEastAsia"/>
                                <w:sz w:val="22"/>
                              </w:rPr>
                              <w:t>喜多院周辺地区の色彩の</w:t>
                            </w:r>
                            <w:r>
                              <w:rPr>
                                <w:rFonts w:hint="default" w:asciiTheme="majorEastAsia" w:hAnsiTheme="majorEastAsia" w:eastAsiaTheme="majorEastAsia"/>
                                <w:sz w:val="22"/>
                              </w:rPr>
                              <w:t>範囲</w:t>
                            </w:r>
                            <w:r>
                              <w:rPr>
                                <w:rFonts w:hint="eastAsia" w:asciiTheme="majorEastAsia" w:hAnsiTheme="majorEastAsia" w:eastAsiaTheme="majorEastAsia"/>
                                <w:sz w:val="22"/>
                              </w:rPr>
                              <w:t>＞</w:t>
                            </w:r>
                          </w:p>
                          <w:p>
                            <w:pPr>
                              <w:pStyle w:val="0"/>
                              <w:spacing w:line="240" w:lineRule="exact"/>
                              <w:ind w:firstLine="440" w:firstLineChars="200"/>
                              <w:rPr>
                                <w:rFonts w:hint="default" w:asciiTheme="majorEastAsia" w:hAnsiTheme="majorEastAsia" w:eastAsiaTheme="majorEastAsia"/>
                                <w:sz w:val="22"/>
                              </w:rPr>
                            </w:pPr>
                            <w:r>
                              <w:rPr>
                                <w:rFonts w:hint="eastAsia" w:asciiTheme="majorEastAsia" w:hAnsiTheme="majorEastAsia" w:eastAsiaTheme="majorEastAsia"/>
                                <w:sz w:val="22"/>
                              </w:rPr>
                              <w:t>（数値はマンセル表色法によるマンセル値）</w:t>
                            </w:r>
                          </w:p>
                          <w:tbl>
                            <w:tblPr>
                              <w:tblStyle w:val="11"/>
                              <w:tblW w:w="805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15"/>
                              <w:gridCol w:w="2268"/>
                              <w:gridCol w:w="2268"/>
                            </w:tblGrid>
                            <w:tr>
                              <w:trPr/>
                              <w:tc>
                                <w:tcPr>
                                  <w:tcW w:w="3515" w:type="dxa"/>
                                  <w:vAlign w:val="top"/>
                                </w:tcPr>
                                <w:p>
                                  <w:pPr>
                                    <w:pStyle w:val="0"/>
                                    <w:spacing w:before="27" w:beforeLines="10" w:beforeAutospacing="0" w:after="27"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色相</w:t>
                                  </w:r>
                                </w:p>
                              </w:tc>
                              <w:tc>
                                <w:tcPr>
                                  <w:tcW w:w="2268" w:type="dxa"/>
                                  <w:vAlign w:val="top"/>
                                </w:tcPr>
                                <w:p>
                                  <w:pPr>
                                    <w:pStyle w:val="0"/>
                                    <w:spacing w:before="27" w:beforeLines="10" w:beforeAutospacing="0" w:after="27"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明度</w:t>
                                  </w:r>
                                </w:p>
                              </w:tc>
                              <w:tc>
                                <w:tcPr>
                                  <w:tcW w:w="2268" w:type="dxa"/>
                                  <w:vAlign w:val="top"/>
                                </w:tcPr>
                                <w:p>
                                  <w:pPr>
                                    <w:pStyle w:val="0"/>
                                    <w:spacing w:before="27" w:beforeLines="10" w:beforeAutospacing="0" w:after="27"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彩度</w:t>
                                  </w:r>
                                </w:p>
                              </w:tc>
                            </w:tr>
                            <w:tr>
                              <w:trPr>
                                <w:trHeight w:val="184" w:hRule="atLeast"/>
                              </w:trPr>
                              <w:tc>
                                <w:tcPr>
                                  <w:tcW w:w="3515" w:type="dxa"/>
                                  <w:vMerge w:val="restart"/>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7.5R</w:t>
                                  </w:r>
                                  <w:r>
                                    <w:rPr>
                                      <w:rFonts w:hint="eastAsia" w:ascii="ＭＳ ゴシック" w:hAnsi="ＭＳ ゴシック" w:eastAsia="ＭＳ ゴシック"/>
                                      <w:sz w:val="22"/>
                                    </w:rPr>
                                    <w:t>〜</w:t>
                                  </w:r>
                                  <w:r>
                                    <w:rPr>
                                      <w:rFonts w:hint="eastAsia" w:ascii="ＭＳ ゴシック" w:hAnsi="ＭＳ ゴシック" w:eastAsia="ＭＳ ゴシック"/>
                                      <w:sz w:val="22"/>
                                    </w:rPr>
                                    <w:t>7.5Y</w:t>
                                  </w:r>
                                  <w:r>
                                    <w:rPr>
                                      <w:rFonts w:hint="eastAsia" w:ascii="ＭＳ ゴシック" w:hAnsi="ＭＳ ゴシック" w:eastAsia="ＭＳ ゴシック"/>
                                      <w:sz w:val="22"/>
                                    </w:rPr>
                                    <w:t>（</w:t>
                                  </w:r>
                                  <w:r>
                                    <w:rPr>
                                      <w:rFonts w:hint="eastAsia" w:ascii="ＭＳ ゴシック" w:hAnsi="ＭＳ ゴシック" w:eastAsia="ＭＳ ゴシック"/>
                                      <w:sz w:val="22"/>
                                    </w:rPr>
                                    <w:t>7.5Y</w:t>
                                  </w:r>
                                  <w:r>
                                    <w:rPr>
                                      <w:rFonts w:hint="eastAsia" w:ascii="ＭＳ ゴシック" w:hAnsi="ＭＳ ゴシック" w:eastAsia="ＭＳ ゴシック"/>
                                      <w:sz w:val="22"/>
                                    </w:rPr>
                                    <w:t>は含まない）</w:t>
                                  </w: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を</w:t>
                                  </w:r>
                                  <w:r>
                                    <w:rPr>
                                      <w:rFonts w:hint="default" w:ascii="ＭＳ ゴシック" w:hAnsi="ＭＳ ゴシック" w:eastAsia="ＭＳ ゴシック"/>
                                      <w:sz w:val="22"/>
                                    </w:rPr>
                                    <w:t>超え</w:t>
                                  </w:r>
                                  <w:r>
                                    <w:rPr>
                                      <w:rFonts w:hint="default" w:ascii="ＭＳ ゴシック" w:hAnsi="ＭＳ ゴシック" w:eastAsia="ＭＳ ゴシック"/>
                                      <w:sz w:val="22"/>
                                    </w:rPr>
                                    <w:t>8</w:t>
                                  </w:r>
                                  <w:r>
                                    <w:rPr>
                                      <w:rFonts w:hint="default" w:ascii="ＭＳ ゴシック" w:hAnsi="ＭＳ ゴシック" w:eastAsia="ＭＳ ゴシック"/>
                                      <w:sz w:val="22"/>
                                    </w:rPr>
                                    <w:t>未満</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6</w:t>
                                  </w:r>
                                  <w:r>
                                    <w:rPr>
                                      <w:rFonts w:hint="eastAsia" w:ascii="ＭＳ ゴシック" w:hAnsi="ＭＳ ゴシック" w:eastAsia="ＭＳ ゴシック"/>
                                      <w:sz w:val="22"/>
                                    </w:rPr>
                                    <w:t>以下</w:t>
                                  </w:r>
                                </w:p>
                              </w:tc>
                            </w:tr>
                            <w:tr>
                              <w:trPr>
                                <w:trHeight w:val="184" w:hRule="atLeast"/>
                              </w:trPr>
                              <w:tc>
                                <w:tcPr>
                                  <w:tcW w:w="3515" w:type="dxa"/>
                                  <w:vMerge w:val="continue"/>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8</w:t>
                                  </w:r>
                                  <w:r>
                                    <w:rPr>
                                      <w:rFonts w:hint="default" w:ascii="ＭＳ ゴシック" w:hAnsi="ＭＳ ゴシック" w:eastAsia="ＭＳ ゴシック"/>
                                      <w:sz w:val="22"/>
                                    </w:rPr>
                                    <w:t>以上</w:t>
                                  </w:r>
                                  <w:r>
                                    <w:rPr>
                                      <w:rFonts w:hint="default" w:ascii="ＭＳ ゴシック" w:hAnsi="ＭＳ ゴシック" w:eastAsia="ＭＳ ゴシック"/>
                                      <w:sz w:val="22"/>
                                    </w:rPr>
                                    <w:t>9</w:t>
                                  </w:r>
                                  <w:r>
                                    <w:rPr>
                                      <w:rFonts w:hint="default" w:ascii="ＭＳ ゴシック" w:hAnsi="ＭＳ ゴシック" w:eastAsia="ＭＳ ゴシック"/>
                                      <w:sz w:val="22"/>
                                    </w:rPr>
                                    <w:t>未満</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default" w:ascii="ＭＳ ゴシック" w:hAnsi="ＭＳ ゴシック" w:eastAsia="ＭＳ ゴシック"/>
                                      <w:sz w:val="22"/>
                                    </w:rPr>
                                    <w:t>以下</w:t>
                                  </w:r>
                                </w:p>
                              </w:tc>
                            </w:tr>
                            <w:tr>
                              <w:trPr>
                                <w:trHeight w:val="184" w:hRule="atLeast"/>
                              </w:trPr>
                              <w:tc>
                                <w:tcPr>
                                  <w:tcW w:w="3515" w:type="dxa"/>
                                  <w:vMerge w:val="restart"/>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7.5Y</w:t>
                                  </w:r>
                                  <w:r>
                                    <w:rPr>
                                      <w:rFonts w:hint="eastAsia" w:ascii="ＭＳ ゴシック" w:hAnsi="ＭＳ ゴシック" w:eastAsia="ＭＳ ゴシック"/>
                                      <w:sz w:val="22"/>
                                    </w:rPr>
                                    <w:t>〜</w:t>
                                  </w:r>
                                  <w:r>
                                    <w:rPr>
                                      <w:rFonts w:hint="eastAsia" w:ascii="ＭＳ ゴシック" w:hAnsi="ＭＳ ゴシック" w:eastAsia="ＭＳ ゴシック"/>
                                      <w:sz w:val="22"/>
                                    </w:rPr>
                                    <w:t>7.5GY(7.5GY</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を</w:t>
                                  </w:r>
                                  <w:r>
                                    <w:rPr>
                                      <w:rFonts w:hint="default" w:ascii="ＭＳ ゴシック" w:hAnsi="ＭＳ ゴシック" w:eastAsia="ＭＳ ゴシック"/>
                                      <w:sz w:val="22"/>
                                    </w:rPr>
                                    <w:t>超え</w:t>
                                  </w:r>
                                  <w:r>
                                    <w:rPr>
                                      <w:rFonts w:hint="default" w:ascii="ＭＳ ゴシック" w:hAnsi="ＭＳ ゴシック" w:eastAsia="ＭＳ ゴシック"/>
                                      <w:sz w:val="22"/>
                                    </w:rPr>
                                    <w:t>8</w:t>
                                  </w:r>
                                  <w:r>
                                    <w:rPr>
                                      <w:rFonts w:hint="default" w:ascii="ＭＳ ゴシック" w:hAnsi="ＭＳ ゴシック" w:eastAsia="ＭＳ ゴシック"/>
                                      <w:sz w:val="22"/>
                                    </w:rPr>
                                    <w:t>未満</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以下</w:t>
                                  </w:r>
                                </w:p>
                              </w:tc>
                            </w:tr>
                            <w:tr>
                              <w:trPr>
                                <w:trHeight w:val="184" w:hRule="atLeast"/>
                              </w:trPr>
                              <w:tc>
                                <w:tcPr>
                                  <w:tcW w:w="3515" w:type="dxa"/>
                                  <w:vMerge w:val="continue"/>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8</w:t>
                                  </w:r>
                                  <w:r>
                                    <w:rPr>
                                      <w:rFonts w:hint="default" w:ascii="ＭＳ ゴシック" w:hAnsi="ＭＳ ゴシック" w:eastAsia="ＭＳ ゴシック"/>
                                      <w:sz w:val="22"/>
                                    </w:rPr>
                                    <w:t>以上</w:t>
                                  </w:r>
                                  <w:r>
                                    <w:rPr>
                                      <w:rFonts w:hint="default" w:ascii="ＭＳ ゴシック" w:hAnsi="ＭＳ ゴシック" w:eastAsia="ＭＳ ゴシック"/>
                                      <w:sz w:val="22"/>
                                    </w:rPr>
                                    <w:t>9</w:t>
                                  </w:r>
                                  <w:r>
                                    <w:rPr>
                                      <w:rFonts w:hint="default" w:ascii="ＭＳ ゴシック" w:hAnsi="ＭＳ ゴシック" w:eastAsia="ＭＳ ゴシック"/>
                                      <w:sz w:val="22"/>
                                    </w:rPr>
                                    <w:t>未満</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default" w:ascii="ＭＳ ゴシック" w:hAnsi="ＭＳ ゴシック" w:eastAsia="ＭＳ ゴシック"/>
                                      <w:sz w:val="22"/>
                                    </w:rPr>
                                    <w:t>以下</w:t>
                                  </w:r>
                                </w:p>
                              </w:tc>
                            </w:tr>
                            <w:tr>
                              <w:trPr>
                                <w:trHeight w:val="74" w:hRule="atLeast"/>
                              </w:trPr>
                              <w:tc>
                                <w:tcPr>
                                  <w:tcW w:w="3515" w:type="dxa"/>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7.5GY</w:t>
                                  </w:r>
                                  <w:r>
                                    <w:rPr>
                                      <w:rFonts w:hint="eastAsia" w:ascii="ＭＳ ゴシック" w:hAnsi="ＭＳ ゴシック" w:eastAsia="ＭＳ ゴシック"/>
                                      <w:sz w:val="22"/>
                                    </w:rPr>
                                    <w:t>〜</w:t>
                                  </w:r>
                                  <w:r>
                                    <w:rPr>
                                      <w:rFonts w:hint="eastAsia" w:ascii="ＭＳ ゴシック" w:hAnsi="ＭＳ ゴシック" w:eastAsia="ＭＳ ゴシック"/>
                                      <w:sz w:val="22"/>
                                    </w:rPr>
                                    <w:t>7.5RP(7.5RP</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を</w:t>
                                  </w:r>
                                  <w:r>
                                    <w:rPr>
                                      <w:rFonts w:hint="default" w:ascii="ＭＳ ゴシック" w:hAnsi="ＭＳ ゴシック" w:eastAsia="ＭＳ ゴシック"/>
                                      <w:sz w:val="22"/>
                                    </w:rPr>
                                    <w:t>超え</w:t>
                                  </w:r>
                                  <w:r>
                                    <w:rPr>
                                      <w:rFonts w:hint="default" w:ascii="ＭＳ ゴシック" w:hAnsi="ＭＳ ゴシック" w:eastAsia="ＭＳ ゴシック"/>
                                      <w:sz w:val="22"/>
                                    </w:rPr>
                                    <w:t>8</w:t>
                                  </w:r>
                                  <w:r>
                                    <w:rPr>
                                      <w:rFonts w:hint="default" w:ascii="ＭＳ ゴシック" w:hAnsi="ＭＳ ゴシック" w:eastAsia="ＭＳ ゴシック"/>
                                      <w:sz w:val="22"/>
                                    </w:rPr>
                                    <w:t>未満</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以下</w:t>
                                  </w:r>
                                </w:p>
                              </w:tc>
                            </w:tr>
                            <w:tr>
                              <w:trPr>
                                <w:trHeight w:val="184" w:hRule="atLeast"/>
                              </w:trPr>
                              <w:tc>
                                <w:tcPr>
                                  <w:tcW w:w="3515" w:type="dxa"/>
                                  <w:vMerge w:val="restart"/>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7.5RP</w:t>
                                  </w:r>
                                  <w:r>
                                    <w:rPr>
                                      <w:rFonts w:hint="eastAsia" w:ascii="ＭＳ ゴシック" w:hAnsi="ＭＳ ゴシック" w:eastAsia="ＭＳ ゴシック"/>
                                      <w:sz w:val="22"/>
                                    </w:rPr>
                                    <w:t>〜</w:t>
                                  </w:r>
                                  <w:r>
                                    <w:rPr>
                                      <w:rFonts w:hint="eastAsia" w:ascii="ＭＳ ゴシック" w:hAnsi="ＭＳ ゴシック" w:eastAsia="ＭＳ ゴシック"/>
                                      <w:sz w:val="22"/>
                                    </w:rPr>
                                    <w:t>7.5R(7.5R</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を</w:t>
                                  </w:r>
                                  <w:r>
                                    <w:rPr>
                                      <w:rFonts w:hint="default" w:ascii="ＭＳ ゴシック" w:hAnsi="ＭＳ ゴシック" w:eastAsia="ＭＳ ゴシック"/>
                                      <w:sz w:val="22"/>
                                    </w:rPr>
                                    <w:t>超え</w:t>
                                  </w:r>
                                  <w:r>
                                    <w:rPr>
                                      <w:rFonts w:hint="default" w:ascii="ＭＳ ゴシック" w:hAnsi="ＭＳ ゴシック" w:eastAsia="ＭＳ ゴシック"/>
                                      <w:sz w:val="22"/>
                                    </w:rPr>
                                    <w:t>8</w:t>
                                  </w:r>
                                  <w:r>
                                    <w:rPr>
                                      <w:rFonts w:hint="default" w:ascii="ＭＳ ゴシック" w:hAnsi="ＭＳ ゴシック" w:eastAsia="ＭＳ ゴシック"/>
                                      <w:sz w:val="22"/>
                                    </w:rPr>
                                    <w:t>未満</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以下</w:t>
                                  </w:r>
                                </w:p>
                              </w:tc>
                            </w:tr>
                            <w:tr>
                              <w:trPr>
                                <w:trHeight w:val="184" w:hRule="atLeast"/>
                              </w:trPr>
                              <w:tc>
                                <w:tcPr>
                                  <w:tcW w:w="3515"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8</w:t>
                                  </w:r>
                                  <w:r>
                                    <w:rPr>
                                      <w:rFonts w:hint="default" w:ascii="ＭＳ ゴシック" w:hAnsi="ＭＳ ゴシック" w:eastAsia="ＭＳ ゴシック"/>
                                      <w:sz w:val="22"/>
                                    </w:rPr>
                                    <w:t>以上</w:t>
                                  </w:r>
                                  <w:r>
                                    <w:rPr>
                                      <w:rFonts w:hint="default" w:ascii="ＭＳ ゴシック" w:hAnsi="ＭＳ ゴシック" w:eastAsia="ＭＳ ゴシック"/>
                                      <w:sz w:val="22"/>
                                    </w:rPr>
                                    <w:t>9</w:t>
                                  </w:r>
                                  <w:r>
                                    <w:rPr>
                                      <w:rFonts w:hint="default" w:ascii="ＭＳ ゴシック" w:hAnsi="ＭＳ ゴシック" w:eastAsia="ＭＳ ゴシック"/>
                                      <w:sz w:val="22"/>
                                    </w:rPr>
                                    <w:t>未満</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以下</w:t>
                                  </w:r>
                                </w:p>
                              </w:tc>
                            </w:tr>
                          </w:tbl>
                          <w:p>
                            <w:pPr>
                              <w:pStyle w:val="0"/>
                              <w:rPr>
                                <w:rFonts w:hint="default"/>
                                <w:sz w:val="2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07" style="mso-wrap-distance-right:9pt;mso-wrap-distance-bottom:0pt;margin-top:17.45pt;mso-position-vertical-relative:text;mso-position-horizontal-relative:text;v-text-anchor:top;position:absolute;height:185pt;mso-wrap-distance-top:0pt;width:445.8pt;mso-wrap-distance-left:9pt;margin-left:-13.2pt;z-index:2;" o:spid="_x0000_s1026" o:allowincell="t" o:allowoverlap="t" filled="f" stroked="f" o:spt="202" type="#_x0000_t202">
                <v:fill/>
                <v:textbox style="layout-flow:horizontal;" inset="2.5399999999999996mm,1.2699999999999998mm,2.5399999999999996mm,1.2699999999999998mm">
                  <w:txbxContent>
                    <w:p>
                      <w:pPr>
                        <w:pStyle w:val="0"/>
                        <w:ind w:firstLine="440" w:firstLineChars="200"/>
                        <w:rPr>
                          <w:rFonts w:hint="default" w:asciiTheme="majorEastAsia" w:hAnsiTheme="majorEastAsia" w:eastAsiaTheme="majorEastAsia"/>
                          <w:sz w:val="22"/>
                        </w:rPr>
                      </w:pPr>
                      <w:r>
                        <w:rPr>
                          <w:rFonts w:hint="eastAsia" w:asciiTheme="majorEastAsia" w:hAnsiTheme="majorEastAsia" w:eastAsiaTheme="majorEastAsia"/>
                          <w:sz w:val="22"/>
                        </w:rPr>
                        <w:t>＜表</w:t>
                      </w:r>
                      <w:r>
                        <w:rPr>
                          <w:rFonts w:hint="eastAsia" w:asciiTheme="majorEastAsia" w:hAnsiTheme="majorEastAsia" w:eastAsiaTheme="majorEastAsia"/>
                          <w:sz w:val="22"/>
                        </w:rPr>
                        <w:t>1</w:t>
                      </w:r>
                      <w:r>
                        <w:rPr>
                          <w:rFonts w:hint="default" w:asciiTheme="majorEastAsia" w:hAnsiTheme="majorEastAsia" w:eastAsiaTheme="majorEastAsia"/>
                          <w:sz w:val="22"/>
                        </w:rPr>
                        <w:t>　</w:t>
                      </w:r>
                      <w:r>
                        <w:rPr>
                          <w:rFonts w:hint="eastAsia" w:asciiTheme="majorEastAsia" w:hAnsiTheme="majorEastAsia" w:eastAsiaTheme="majorEastAsia"/>
                          <w:sz w:val="22"/>
                        </w:rPr>
                        <w:t>喜多院周辺地区の色彩の</w:t>
                      </w:r>
                      <w:r>
                        <w:rPr>
                          <w:rFonts w:hint="default" w:asciiTheme="majorEastAsia" w:hAnsiTheme="majorEastAsia" w:eastAsiaTheme="majorEastAsia"/>
                          <w:sz w:val="22"/>
                        </w:rPr>
                        <w:t>範囲</w:t>
                      </w:r>
                      <w:r>
                        <w:rPr>
                          <w:rFonts w:hint="eastAsia" w:asciiTheme="majorEastAsia" w:hAnsiTheme="majorEastAsia" w:eastAsiaTheme="majorEastAsia"/>
                          <w:sz w:val="22"/>
                        </w:rPr>
                        <w:t>＞</w:t>
                      </w:r>
                    </w:p>
                    <w:p>
                      <w:pPr>
                        <w:pStyle w:val="0"/>
                        <w:spacing w:line="240" w:lineRule="exact"/>
                        <w:ind w:firstLine="440" w:firstLineChars="200"/>
                        <w:rPr>
                          <w:rFonts w:hint="default" w:asciiTheme="majorEastAsia" w:hAnsiTheme="majorEastAsia" w:eastAsiaTheme="majorEastAsia"/>
                          <w:sz w:val="22"/>
                        </w:rPr>
                      </w:pPr>
                      <w:r>
                        <w:rPr>
                          <w:rFonts w:hint="eastAsia" w:asciiTheme="majorEastAsia" w:hAnsiTheme="majorEastAsia" w:eastAsiaTheme="majorEastAsia"/>
                          <w:sz w:val="22"/>
                        </w:rPr>
                        <w:t>（数値はマンセル表色法によるマンセル値）</w:t>
                      </w:r>
                    </w:p>
                    <w:tbl>
                      <w:tblPr>
                        <w:tblStyle w:val="11"/>
                        <w:tblW w:w="805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15"/>
                        <w:gridCol w:w="2268"/>
                        <w:gridCol w:w="2268"/>
                      </w:tblGrid>
                      <w:tr>
                        <w:trPr/>
                        <w:tc>
                          <w:tcPr>
                            <w:tcW w:w="3515" w:type="dxa"/>
                            <w:vAlign w:val="top"/>
                          </w:tcPr>
                          <w:p>
                            <w:pPr>
                              <w:pStyle w:val="0"/>
                              <w:spacing w:before="27" w:beforeLines="10" w:beforeAutospacing="0" w:after="27"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色相</w:t>
                            </w:r>
                          </w:p>
                        </w:tc>
                        <w:tc>
                          <w:tcPr>
                            <w:tcW w:w="2268" w:type="dxa"/>
                            <w:vAlign w:val="top"/>
                          </w:tcPr>
                          <w:p>
                            <w:pPr>
                              <w:pStyle w:val="0"/>
                              <w:spacing w:before="27" w:beforeLines="10" w:beforeAutospacing="0" w:after="27"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明度</w:t>
                            </w:r>
                          </w:p>
                        </w:tc>
                        <w:tc>
                          <w:tcPr>
                            <w:tcW w:w="2268" w:type="dxa"/>
                            <w:vAlign w:val="top"/>
                          </w:tcPr>
                          <w:p>
                            <w:pPr>
                              <w:pStyle w:val="0"/>
                              <w:spacing w:before="27" w:beforeLines="10" w:beforeAutospacing="0" w:after="27"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彩度</w:t>
                            </w:r>
                          </w:p>
                        </w:tc>
                      </w:tr>
                      <w:tr>
                        <w:trPr>
                          <w:trHeight w:val="184" w:hRule="atLeast"/>
                        </w:trPr>
                        <w:tc>
                          <w:tcPr>
                            <w:tcW w:w="3515" w:type="dxa"/>
                            <w:vMerge w:val="restart"/>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7.5R</w:t>
                            </w:r>
                            <w:r>
                              <w:rPr>
                                <w:rFonts w:hint="eastAsia" w:ascii="ＭＳ ゴシック" w:hAnsi="ＭＳ ゴシック" w:eastAsia="ＭＳ ゴシック"/>
                                <w:sz w:val="22"/>
                              </w:rPr>
                              <w:t>〜</w:t>
                            </w:r>
                            <w:r>
                              <w:rPr>
                                <w:rFonts w:hint="eastAsia" w:ascii="ＭＳ ゴシック" w:hAnsi="ＭＳ ゴシック" w:eastAsia="ＭＳ ゴシック"/>
                                <w:sz w:val="22"/>
                              </w:rPr>
                              <w:t>7.5Y</w:t>
                            </w:r>
                            <w:r>
                              <w:rPr>
                                <w:rFonts w:hint="eastAsia" w:ascii="ＭＳ ゴシック" w:hAnsi="ＭＳ ゴシック" w:eastAsia="ＭＳ ゴシック"/>
                                <w:sz w:val="22"/>
                              </w:rPr>
                              <w:t>（</w:t>
                            </w:r>
                            <w:r>
                              <w:rPr>
                                <w:rFonts w:hint="eastAsia" w:ascii="ＭＳ ゴシック" w:hAnsi="ＭＳ ゴシック" w:eastAsia="ＭＳ ゴシック"/>
                                <w:sz w:val="22"/>
                              </w:rPr>
                              <w:t>7.5Y</w:t>
                            </w:r>
                            <w:r>
                              <w:rPr>
                                <w:rFonts w:hint="eastAsia" w:ascii="ＭＳ ゴシック" w:hAnsi="ＭＳ ゴシック" w:eastAsia="ＭＳ ゴシック"/>
                                <w:sz w:val="22"/>
                              </w:rPr>
                              <w:t>は含まない）</w:t>
                            </w: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を</w:t>
                            </w:r>
                            <w:r>
                              <w:rPr>
                                <w:rFonts w:hint="default" w:ascii="ＭＳ ゴシック" w:hAnsi="ＭＳ ゴシック" w:eastAsia="ＭＳ ゴシック"/>
                                <w:sz w:val="22"/>
                              </w:rPr>
                              <w:t>超え</w:t>
                            </w:r>
                            <w:r>
                              <w:rPr>
                                <w:rFonts w:hint="default" w:ascii="ＭＳ ゴシック" w:hAnsi="ＭＳ ゴシック" w:eastAsia="ＭＳ ゴシック"/>
                                <w:sz w:val="22"/>
                              </w:rPr>
                              <w:t>8</w:t>
                            </w:r>
                            <w:r>
                              <w:rPr>
                                <w:rFonts w:hint="default" w:ascii="ＭＳ ゴシック" w:hAnsi="ＭＳ ゴシック" w:eastAsia="ＭＳ ゴシック"/>
                                <w:sz w:val="22"/>
                              </w:rPr>
                              <w:t>未満</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6</w:t>
                            </w:r>
                            <w:r>
                              <w:rPr>
                                <w:rFonts w:hint="eastAsia" w:ascii="ＭＳ ゴシック" w:hAnsi="ＭＳ ゴシック" w:eastAsia="ＭＳ ゴシック"/>
                                <w:sz w:val="22"/>
                              </w:rPr>
                              <w:t>以下</w:t>
                            </w:r>
                          </w:p>
                        </w:tc>
                      </w:tr>
                      <w:tr>
                        <w:trPr>
                          <w:trHeight w:val="184" w:hRule="atLeast"/>
                        </w:trPr>
                        <w:tc>
                          <w:tcPr>
                            <w:tcW w:w="3515" w:type="dxa"/>
                            <w:vMerge w:val="continue"/>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8</w:t>
                            </w:r>
                            <w:r>
                              <w:rPr>
                                <w:rFonts w:hint="default" w:ascii="ＭＳ ゴシック" w:hAnsi="ＭＳ ゴシック" w:eastAsia="ＭＳ ゴシック"/>
                                <w:sz w:val="22"/>
                              </w:rPr>
                              <w:t>以上</w:t>
                            </w:r>
                            <w:r>
                              <w:rPr>
                                <w:rFonts w:hint="default" w:ascii="ＭＳ ゴシック" w:hAnsi="ＭＳ ゴシック" w:eastAsia="ＭＳ ゴシック"/>
                                <w:sz w:val="22"/>
                              </w:rPr>
                              <w:t>9</w:t>
                            </w:r>
                            <w:r>
                              <w:rPr>
                                <w:rFonts w:hint="default" w:ascii="ＭＳ ゴシック" w:hAnsi="ＭＳ ゴシック" w:eastAsia="ＭＳ ゴシック"/>
                                <w:sz w:val="22"/>
                              </w:rPr>
                              <w:t>未満</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default" w:ascii="ＭＳ ゴシック" w:hAnsi="ＭＳ ゴシック" w:eastAsia="ＭＳ ゴシック"/>
                                <w:sz w:val="22"/>
                              </w:rPr>
                              <w:t>以下</w:t>
                            </w:r>
                          </w:p>
                        </w:tc>
                      </w:tr>
                      <w:tr>
                        <w:trPr>
                          <w:trHeight w:val="184" w:hRule="atLeast"/>
                        </w:trPr>
                        <w:tc>
                          <w:tcPr>
                            <w:tcW w:w="3515" w:type="dxa"/>
                            <w:vMerge w:val="restart"/>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7.5Y</w:t>
                            </w:r>
                            <w:r>
                              <w:rPr>
                                <w:rFonts w:hint="eastAsia" w:ascii="ＭＳ ゴシック" w:hAnsi="ＭＳ ゴシック" w:eastAsia="ＭＳ ゴシック"/>
                                <w:sz w:val="22"/>
                              </w:rPr>
                              <w:t>〜</w:t>
                            </w:r>
                            <w:r>
                              <w:rPr>
                                <w:rFonts w:hint="eastAsia" w:ascii="ＭＳ ゴシック" w:hAnsi="ＭＳ ゴシック" w:eastAsia="ＭＳ ゴシック"/>
                                <w:sz w:val="22"/>
                              </w:rPr>
                              <w:t>7.5GY(7.5GY</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を</w:t>
                            </w:r>
                            <w:r>
                              <w:rPr>
                                <w:rFonts w:hint="default" w:ascii="ＭＳ ゴシック" w:hAnsi="ＭＳ ゴシック" w:eastAsia="ＭＳ ゴシック"/>
                                <w:sz w:val="22"/>
                              </w:rPr>
                              <w:t>超え</w:t>
                            </w:r>
                            <w:r>
                              <w:rPr>
                                <w:rFonts w:hint="default" w:ascii="ＭＳ ゴシック" w:hAnsi="ＭＳ ゴシック" w:eastAsia="ＭＳ ゴシック"/>
                                <w:sz w:val="22"/>
                              </w:rPr>
                              <w:t>8</w:t>
                            </w:r>
                            <w:r>
                              <w:rPr>
                                <w:rFonts w:hint="default" w:ascii="ＭＳ ゴシック" w:hAnsi="ＭＳ ゴシック" w:eastAsia="ＭＳ ゴシック"/>
                                <w:sz w:val="22"/>
                              </w:rPr>
                              <w:t>未満</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以下</w:t>
                            </w:r>
                          </w:p>
                        </w:tc>
                      </w:tr>
                      <w:tr>
                        <w:trPr>
                          <w:trHeight w:val="184" w:hRule="atLeast"/>
                        </w:trPr>
                        <w:tc>
                          <w:tcPr>
                            <w:tcW w:w="3515" w:type="dxa"/>
                            <w:vMerge w:val="continue"/>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8</w:t>
                            </w:r>
                            <w:r>
                              <w:rPr>
                                <w:rFonts w:hint="default" w:ascii="ＭＳ ゴシック" w:hAnsi="ＭＳ ゴシック" w:eastAsia="ＭＳ ゴシック"/>
                                <w:sz w:val="22"/>
                              </w:rPr>
                              <w:t>以上</w:t>
                            </w:r>
                            <w:r>
                              <w:rPr>
                                <w:rFonts w:hint="default" w:ascii="ＭＳ ゴシック" w:hAnsi="ＭＳ ゴシック" w:eastAsia="ＭＳ ゴシック"/>
                                <w:sz w:val="22"/>
                              </w:rPr>
                              <w:t>9</w:t>
                            </w:r>
                            <w:r>
                              <w:rPr>
                                <w:rFonts w:hint="default" w:ascii="ＭＳ ゴシック" w:hAnsi="ＭＳ ゴシック" w:eastAsia="ＭＳ ゴシック"/>
                                <w:sz w:val="22"/>
                              </w:rPr>
                              <w:t>未満</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default" w:ascii="ＭＳ ゴシック" w:hAnsi="ＭＳ ゴシック" w:eastAsia="ＭＳ ゴシック"/>
                                <w:sz w:val="22"/>
                              </w:rPr>
                              <w:t>以下</w:t>
                            </w:r>
                          </w:p>
                        </w:tc>
                      </w:tr>
                      <w:tr>
                        <w:trPr>
                          <w:trHeight w:val="74" w:hRule="atLeast"/>
                        </w:trPr>
                        <w:tc>
                          <w:tcPr>
                            <w:tcW w:w="3515" w:type="dxa"/>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7.5GY</w:t>
                            </w:r>
                            <w:r>
                              <w:rPr>
                                <w:rFonts w:hint="eastAsia" w:ascii="ＭＳ ゴシック" w:hAnsi="ＭＳ ゴシック" w:eastAsia="ＭＳ ゴシック"/>
                                <w:sz w:val="22"/>
                              </w:rPr>
                              <w:t>〜</w:t>
                            </w:r>
                            <w:r>
                              <w:rPr>
                                <w:rFonts w:hint="eastAsia" w:ascii="ＭＳ ゴシック" w:hAnsi="ＭＳ ゴシック" w:eastAsia="ＭＳ ゴシック"/>
                                <w:sz w:val="22"/>
                              </w:rPr>
                              <w:t>7.5RP(7.5RP</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を</w:t>
                            </w:r>
                            <w:r>
                              <w:rPr>
                                <w:rFonts w:hint="default" w:ascii="ＭＳ ゴシック" w:hAnsi="ＭＳ ゴシック" w:eastAsia="ＭＳ ゴシック"/>
                                <w:sz w:val="22"/>
                              </w:rPr>
                              <w:t>超え</w:t>
                            </w:r>
                            <w:r>
                              <w:rPr>
                                <w:rFonts w:hint="default" w:ascii="ＭＳ ゴシック" w:hAnsi="ＭＳ ゴシック" w:eastAsia="ＭＳ ゴシック"/>
                                <w:sz w:val="22"/>
                              </w:rPr>
                              <w:t>8</w:t>
                            </w:r>
                            <w:r>
                              <w:rPr>
                                <w:rFonts w:hint="default" w:ascii="ＭＳ ゴシック" w:hAnsi="ＭＳ ゴシック" w:eastAsia="ＭＳ ゴシック"/>
                                <w:sz w:val="22"/>
                              </w:rPr>
                              <w:t>未満</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以下</w:t>
                            </w:r>
                          </w:p>
                        </w:tc>
                      </w:tr>
                      <w:tr>
                        <w:trPr>
                          <w:trHeight w:val="184" w:hRule="atLeast"/>
                        </w:trPr>
                        <w:tc>
                          <w:tcPr>
                            <w:tcW w:w="3515" w:type="dxa"/>
                            <w:vMerge w:val="restart"/>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7.5RP</w:t>
                            </w:r>
                            <w:r>
                              <w:rPr>
                                <w:rFonts w:hint="eastAsia" w:ascii="ＭＳ ゴシック" w:hAnsi="ＭＳ ゴシック" w:eastAsia="ＭＳ ゴシック"/>
                                <w:sz w:val="22"/>
                              </w:rPr>
                              <w:t>〜</w:t>
                            </w:r>
                            <w:r>
                              <w:rPr>
                                <w:rFonts w:hint="eastAsia" w:ascii="ＭＳ ゴシック" w:hAnsi="ＭＳ ゴシック" w:eastAsia="ＭＳ ゴシック"/>
                                <w:sz w:val="22"/>
                              </w:rPr>
                              <w:t>7.5R(7.5R</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を</w:t>
                            </w:r>
                            <w:r>
                              <w:rPr>
                                <w:rFonts w:hint="default" w:ascii="ＭＳ ゴシック" w:hAnsi="ＭＳ ゴシック" w:eastAsia="ＭＳ ゴシック"/>
                                <w:sz w:val="22"/>
                              </w:rPr>
                              <w:t>超え</w:t>
                            </w:r>
                            <w:r>
                              <w:rPr>
                                <w:rFonts w:hint="default" w:ascii="ＭＳ ゴシック" w:hAnsi="ＭＳ ゴシック" w:eastAsia="ＭＳ ゴシック"/>
                                <w:sz w:val="22"/>
                              </w:rPr>
                              <w:t>8</w:t>
                            </w:r>
                            <w:r>
                              <w:rPr>
                                <w:rFonts w:hint="default" w:ascii="ＭＳ ゴシック" w:hAnsi="ＭＳ ゴシック" w:eastAsia="ＭＳ ゴシック"/>
                                <w:sz w:val="22"/>
                              </w:rPr>
                              <w:t>未満</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以下</w:t>
                            </w:r>
                          </w:p>
                        </w:tc>
                      </w:tr>
                      <w:tr>
                        <w:trPr>
                          <w:trHeight w:val="184" w:hRule="atLeast"/>
                        </w:trPr>
                        <w:tc>
                          <w:tcPr>
                            <w:tcW w:w="3515"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spacing w:before="27" w:beforeLines="10" w:beforeAutospacing="0" w:after="27" w:afterLines="10" w:afterAutospacing="0" w:line="280" w:lineRule="exact"/>
                              <w:rPr>
                                <w:rFonts w:hint="default" w:ascii="ＭＳ ゴシック" w:hAnsi="ＭＳ ゴシック" w:eastAsia="ＭＳ ゴシック"/>
                                <w:sz w:val="22"/>
                              </w:rPr>
                            </w:pPr>
                          </w:p>
                        </w:tc>
                        <w:tc>
                          <w:tcPr>
                            <w:tcW w:w="2268" w:type="dxa"/>
                            <w:vAlign w:val="center"/>
                          </w:tcPr>
                          <w:p>
                            <w:pPr>
                              <w:pStyle w:val="0"/>
                              <w:spacing w:before="27" w:beforeLines="10" w:beforeAutospacing="0" w:after="27" w:afterLines="10" w:afterAutospacing="0" w:line="280" w:lineRule="exact"/>
                              <w:ind w:left="139" w:leftChars="66"/>
                              <w:jc w:val="center"/>
                              <w:rPr>
                                <w:rFonts w:hint="default" w:ascii="ＭＳ ゴシック" w:hAnsi="ＭＳ ゴシック" w:eastAsia="ＭＳ ゴシック"/>
                                <w:sz w:val="22"/>
                              </w:rPr>
                            </w:pPr>
                            <w:r>
                              <w:rPr>
                                <w:rFonts w:hint="eastAsia" w:ascii="ＭＳ ゴシック" w:hAnsi="ＭＳ ゴシック" w:eastAsia="ＭＳ ゴシック"/>
                                <w:sz w:val="22"/>
                              </w:rPr>
                              <w:t>8</w:t>
                            </w:r>
                            <w:r>
                              <w:rPr>
                                <w:rFonts w:hint="default" w:ascii="ＭＳ ゴシック" w:hAnsi="ＭＳ ゴシック" w:eastAsia="ＭＳ ゴシック"/>
                                <w:sz w:val="22"/>
                              </w:rPr>
                              <w:t>以上</w:t>
                            </w:r>
                            <w:r>
                              <w:rPr>
                                <w:rFonts w:hint="default" w:ascii="ＭＳ ゴシック" w:hAnsi="ＭＳ ゴシック" w:eastAsia="ＭＳ ゴシック"/>
                                <w:sz w:val="22"/>
                              </w:rPr>
                              <w:t>9</w:t>
                            </w:r>
                            <w:r>
                              <w:rPr>
                                <w:rFonts w:hint="default" w:ascii="ＭＳ ゴシック" w:hAnsi="ＭＳ ゴシック" w:eastAsia="ＭＳ ゴシック"/>
                                <w:sz w:val="22"/>
                              </w:rPr>
                              <w:t>未満</w:t>
                            </w:r>
                          </w:p>
                        </w:tc>
                        <w:tc>
                          <w:tcPr>
                            <w:tcW w:w="2268" w:type="dxa"/>
                            <w:vAlign w:val="center"/>
                          </w:tcPr>
                          <w:p>
                            <w:pPr>
                              <w:pStyle w:val="0"/>
                              <w:spacing w:before="27" w:beforeLines="10" w:beforeAutospacing="0" w:after="27"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以下</w:t>
                            </w:r>
                          </w:p>
                        </w:tc>
                      </w:tr>
                    </w:tbl>
                    <w:p>
                      <w:pPr>
                        <w:pStyle w:val="0"/>
                        <w:rPr>
                          <w:rFonts w:hint="default"/>
                          <w:sz w:val="20"/>
                        </w:rPr>
                      </w:pPr>
                    </w:p>
                  </w:txbxContent>
                </v:textbox>
                <v:imagedata o:title=""/>
                <w10:wrap type="none" anchorx="text" anchory="text"/>
              </v:shape>
            </w:pict>
          </mc:Fallback>
        </mc:AlternateContent>
      </w: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jc w:val="left"/>
        <w:rPr>
          <w:rFonts w:hint="default"/>
          <w:sz w:val="20"/>
        </w:rPr>
      </w:pPr>
      <w:r>
        <w:rPr>
          <w:rFonts w:hint="eastAsia"/>
          <w:sz w:val="20"/>
        </w:rPr>
        <w:t>備考　チェック欄については、該当する□にレ点を記入してください。</w:t>
      </w:r>
    </w:p>
    <w:p>
      <w:pPr>
        <w:pStyle w:val="0"/>
        <w:widowControl w:val="1"/>
        <w:ind w:firstLine="600" w:firstLineChars="300"/>
        <w:jc w:val="left"/>
        <w:rPr>
          <w:rFonts w:hint="default"/>
          <w:sz w:val="20"/>
        </w:rPr>
      </w:pPr>
      <w:r>
        <w:rPr>
          <w:rFonts w:hint="eastAsia"/>
          <w:sz w:val="20"/>
        </w:rPr>
        <w:t>配慮・工夫事項の説明については、必ず記述してください。</w:t>
      </w: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p>
      <w:pPr>
        <w:pStyle w:val="0"/>
        <w:widowControl w:val="1"/>
        <w:spacing w:before="82" w:beforeLines="30" w:beforeAutospacing="0" w:after="82" w:afterLines="30" w:afterAutospacing="0" w:line="280" w:lineRule="exact"/>
        <w:jc w:val="left"/>
        <w:rPr>
          <w:rFonts w:hint="default" w:ascii="ＭＳ 明朝" w:hAnsi="ＭＳ 明朝"/>
          <w:sz w:val="22"/>
        </w:rPr>
      </w:pPr>
    </w:p>
    <w:sectPr>
      <w:headerReference r:id="rId6" w:type="even"/>
      <w:headerReference r:id="rId7" w:type="default"/>
      <w:footerReference r:id="rId9" w:type="even"/>
      <w:footerReference r:id="rId10" w:type="default"/>
      <w:headerReference r:id="rId5" w:type="first"/>
      <w:footerReference r:id="rId8" w:type="first"/>
      <w:pgSz w:w="11907" w:h="16839"/>
      <w:pgMar w:top="1418" w:right="1418" w:bottom="1418" w:left="1701"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S明朝E">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ヒラギノ角ゴ ProN W3">
    <w:panose1 w:val="00000000000000000000"/>
    <w:charset w:val="80"/>
    <w:family w:val="auto"/>
    <w:pitch w:val="fixed"/>
    <w:sig w:usb0="00000000" w:usb1="00000000" w:usb2="00000000" w:usb3="00000000" w:csb0="0D000200" w:csb1="00000000"/>
  </w:font>
  <w:font w:name="Century Gothic">
    <w:panose1 w:val="00000000000000000000"/>
    <w:charset w:val="00"/>
    <w:family w:val="swiss"/>
    <w:notTrueType/>
    <w:pitch w:val="variable"/>
    <w:sig w:usb0="00000000" w:usb1="00000000" w:usb2="00000000" w:usb3="00000000" w:csb0="FF000000" w:csb1="00000000"/>
  </w:font>
  <w:font w:name="Palatino Linotype">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framePr w:wrap="around" w:hAnchor="margin" w:vAnchor="text" w:x="-4" w:y="2"/>
      <w:rPr>
        <w:rStyle w:val="34"/>
        <w:rFonts w:hint="default" w:ascii="HG丸ｺﾞｼｯｸM-PRO" w:hAnsi="HG丸ｺﾞｼｯｸM-PRO" w:eastAsia="HG丸ｺﾞｼｯｸM-PRO"/>
      </w:rPr>
    </w:pPr>
    <w:r>
      <w:rPr>
        <w:rStyle w:val="34"/>
        <w:rFonts w:hint="default" w:ascii="HG丸ｺﾞｼｯｸM-PRO" w:hAnsi="HG丸ｺﾞｼｯｸM-PRO" w:eastAsia="HG丸ｺﾞｼｯｸM-PRO"/>
      </w:rPr>
      <w:t xml:space="preserve">- </w:t>
    </w:r>
    <w:r>
      <w:rPr>
        <w:rFonts w:hint="eastAsia"/>
      </w:rPr>
      <w:fldChar w:fldCharType="begin"/>
    </w:r>
    <w:r>
      <w:rPr>
        <w:rFonts w:hint="eastAsia"/>
      </w:rPr>
      <w:instrText xml:space="preserve">PAGE  \* MERGEFORMAT </w:instrText>
    </w:r>
    <w:r>
      <w:rPr>
        <w:rFonts w:hint="eastAsia"/>
      </w:rPr>
      <w:fldChar w:fldCharType="separate"/>
    </w:r>
    <w:r>
      <w:rPr>
        <w:rStyle w:val="34"/>
        <w:rFonts w:hint="default" w:ascii="HG丸ｺﾞｼｯｸM-PRO" w:hAnsi="HG丸ｺﾞｼｯｸM-PRO" w:eastAsia="HG丸ｺﾞｼｯｸM-PRO"/>
      </w:rPr>
      <w:t>2</w:t>
    </w:r>
    <w:r>
      <w:rPr>
        <w:rFonts w:hint="eastAsia"/>
      </w:rPr>
      <w:fldChar w:fldCharType="end"/>
    </w:r>
    <w:r>
      <w:rPr>
        <w:rStyle w:val="34"/>
        <w:rFonts w:hint="default" w:ascii="HG丸ｺﾞｼｯｸM-PRO" w:hAnsi="HG丸ｺﾞｼｯｸM-PRO" w:eastAsia="HG丸ｺﾞｼｯｸM-PRO"/>
      </w:rPr>
      <w:t xml:space="preserve"> -</w:t>
    </w:r>
  </w:p>
  <w:p>
    <w:pPr>
      <w:pStyle w:val="29"/>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rPr>
    </w:pPr>
  </w:p>
  <w:p>
    <w:pPr>
      <w:pStyle w:val="27"/>
      <w:rPr>
        <w:rFonts w:hint="default"/>
      </w:rPr>
    </w:pPr>
  </w:p>
  <w:p>
    <w:pPr>
      <w:pStyle w:val="27"/>
      <w:rPr>
        <w:rFonts w:hint="default"/>
        <w:sz w:val="20"/>
      </w:rPr>
    </w:pPr>
    <w:r>
      <w:rPr>
        <w:rFonts w:hint="eastAsia"/>
      </w:rPr>
      <w:t>様式第</w:t>
    </w:r>
    <w:r>
      <w:rPr>
        <w:rFonts w:hint="eastAsia"/>
      </w:rPr>
      <w:t>3</w:t>
    </w:r>
    <w:r>
      <w:rPr>
        <w:rFonts w:hint="eastAsia"/>
      </w:rPr>
      <w:t>の</w:t>
    </w:r>
    <w:r>
      <w:rPr>
        <w:rFonts w:hint="eastAsia"/>
      </w:rPr>
      <w:t>3</w:t>
    </w:r>
    <w:r>
      <w:rPr>
        <w:rFonts w:hint="eastAsia"/>
      </w:rPr>
      <w:t>号（第</w:t>
    </w:r>
    <w:r>
      <w:rPr>
        <w:rFonts w:hint="eastAsia"/>
      </w:rPr>
      <w:t>4</w:t>
    </w:r>
    <w:r>
      <w:rPr>
        <w:rFonts w:hint="eastAsia"/>
      </w:rPr>
      <w:t>条関係）</w: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rPr>
    </w:pPr>
  </w:p>
  <w:p>
    <w:pPr>
      <w:pStyle w:val="27"/>
      <w:rPr>
        <w:rFonts w:hint="default"/>
      </w:rPr>
    </w:pPr>
  </w:p>
  <w:p>
    <w:pPr>
      <w:pStyle w:val="27"/>
      <w:rPr>
        <w:rFonts w:hint="default"/>
        <w:sz w:val="20"/>
      </w:rPr>
    </w:pPr>
    <w:r>
      <w:rPr>
        <w:rFonts w:hint="eastAsia"/>
        <w:sz w:val="20"/>
      </w:rPr>
      <w:t>様式第８号（第２条関係）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displayBackgroundShape/>
  <w:bordersDoNotSurroundHeader/>
  <w:bordersDoNotSurroundFooter/>
  <w:defaultTabStop w:val="960"/>
  <w:drawingGridHorizontalSpacing w:val="105"/>
  <w:drawingGridVerticalSpacing w:val="200"/>
  <w:displayHorizontalDrawingGridEvery w:val="0"/>
  <w:displayVerticalDrawingGridEvery w:val="2"/>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1"/>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Theme="minorEastAsia"/>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１）見出し"/>
    <w:basedOn w:val="0"/>
    <w:next w:val="15"/>
    <w:link w:val="0"/>
    <w:uiPriority w:val="0"/>
    <w:qFormat/>
    <w:pPr>
      <w:spacing w:before="220" w:beforeLines="80" w:beforeAutospacing="0" w:line="340" w:lineRule="exact"/>
      <w:ind w:left="840" w:hanging="840" w:hangingChars="300"/>
    </w:pPr>
    <w:rPr>
      <w:rFonts w:ascii="HGS創英角ｺﾞｼｯｸUB" w:hAnsi="HGS創英角ｺﾞｼｯｸUB" w:eastAsia="HGS創英角ｺﾞｼｯｸUB"/>
      <w:sz w:val="28"/>
    </w:rPr>
  </w:style>
  <w:style w:type="paragraph" w:styleId="16" w:customStyle="1">
    <w:name w:val="本文（MS明朝）"/>
    <w:basedOn w:val="0"/>
    <w:next w:val="16"/>
    <w:link w:val="0"/>
    <w:uiPriority w:val="0"/>
    <w:qFormat/>
    <w:pPr>
      <w:spacing w:before="82" w:beforeLines="30" w:beforeAutospacing="0" w:line="440" w:lineRule="atLeast"/>
      <w:ind w:left="283" w:leftChars="135" w:firstLine="221"/>
    </w:pPr>
    <w:rPr>
      <w:rFonts w:asciiTheme="minorEastAsia" w:hAnsiTheme="minorEastAsia" w:eastAsiaTheme="minorEastAsia"/>
      <w:sz w:val="22"/>
    </w:rPr>
  </w:style>
  <w:style w:type="paragraph" w:styleId="17" w:customStyle="1">
    <w:name w:val="※注釈"/>
    <w:basedOn w:val="16"/>
    <w:next w:val="17"/>
    <w:link w:val="0"/>
    <w:uiPriority w:val="0"/>
    <w:qFormat/>
    <w:pPr>
      <w:spacing w:before="180" w:beforeLines="0" w:beforeAutospacing="0" w:line="260" w:lineRule="exact"/>
      <w:ind w:left="1260" w:leftChars="500" w:hanging="210" w:hangingChars="100"/>
    </w:pPr>
    <w:rPr>
      <w:sz w:val="21"/>
    </w:rPr>
  </w:style>
  <w:style w:type="paragraph" w:styleId="18" w:customStyle="1">
    <w:name w:val="○計画説明"/>
    <w:basedOn w:val="0"/>
    <w:next w:val="18"/>
    <w:link w:val="0"/>
    <w:uiPriority w:val="0"/>
    <w:qFormat/>
    <w:pPr>
      <w:spacing w:line="360" w:lineRule="exact"/>
      <w:ind w:left="955" w:leftChars="350" w:right="34" w:hanging="220" w:hangingChars="100"/>
    </w:pPr>
    <w:rPr>
      <w:rFonts w:ascii="HG丸ｺﾞｼｯｸM-PRO" w:hAnsi="HG丸ｺﾞｼｯｸM-PRO" w:eastAsia="HG丸ｺﾞｼｯｸM-PRO"/>
      <w:sz w:val="22"/>
    </w:rPr>
  </w:style>
  <w:style w:type="paragraph" w:styleId="19" w:customStyle="1">
    <w:name w:val="●計画名"/>
    <w:basedOn w:val="0"/>
    <w:next w:val="19"/>
    <w:link w:val="0"/>
    <w:uiPriority w:val="0"/>
    <w:qFormat/>
    <w:pPr>
      <w:spacing w:before="138" w:beforeLines="50" w:beforeAutospacing="0"/>
      <w:ind w:left="315" w:leftChars="150" w:right="35" w:firstLine="238" w:firstLineChars="100"/>
    </w:pPr>
    <w:rPr>
      <w:rFonts w:ascii="HG丸ｺﾞｼｯｸM-PRO" w:hAnsi="HG丸ｺﾞｼｯｸM-PRO" w:eastAsia="HG丸ｺﾞｼｯｸM-PRO"/>
      <w:b w:val="1"/>
      <w:sz w:val="22"/>
    </w:rPr>
  </w:style>
  <w:style w:type="paragraph" w:styleId="20" w:customStyle="1">
    <w:name w:val="１　見出し"/>
    <w:basedOn w:val="0"/>
    <w:next w:val="20"/>
    <w:link w:val="0"/>
    <w:uiPriority w:val="0"/>
    <w:qFormat/>
    <w:pPr>
      <w:shd w:val="clear" w:color="auto" w:fill="42558C"/>
      <w:spacing w:line="480" w:lineRule="atLeast"/>
    </w:pPr>
    <w:rPr>
      <w:rFonts w:ascii="HGS創英角ｺﾞｼｯｸUB" w:hAnsi="HGS創英角ｺﾞｼｯｸUB" w:eastAsia="HGS創英角ｺﾞｼｯｸUB"/>
      <w:color w:val="FFFFFF" w:themeColor="background1"/>
      <w:sz w:val="32"/>
    </w:rPr>
  </w:style>
  <w:style w:type="paragraph" w:styleId="21" w:customStyle="1">
    <w:name w:val="①見出し"/>
    <w:basedOn w:val="0"/>
    <w:next w:val="21"/>
    <w:link w:val="0"/>
    <w:uiPriority w:val="0"/>
    <w:qFormat/>
    <w:pPr>
      <w:spacing w:before="276" w:beforeLines="100" w:beforeAutospacing="0" w:line="480" w:lineRule="atLeast"/>
      <w:ind w:left="797" w:leftChars="200" w:right="34" w:hanging="377" w:hangingChars="157"/>
    </w:pPr>
    <w:rPr>
      <w:rFonts w:ascii="HGP創英角ｺﾞｼｯｸUB" w:hAnsi="HGP創英角ｺﾞｼｯｸUB" w:eastAsia="HGP創英角ｺﾞｼｯｸUB"/>
      <w:color w:val="244061"/>
      <w:sz w:val="24"/>
    </w:rPr>
  </w:style>
  <w:style w:type="paragraph" w:styleId="22" w:customStyle="1">
    <w:name w:val="キャプション（丸ゴシック）"/>
    <w:basedOn w:val="0"/>
    <w:next w:val="22"/>
    <w:link w:val="0"/>
    <w:uiPriority w:val="0"/>
    <w:qFormat/>
    <w:pPr>
      <w:spacing w:line="300" w:lineRule="exact"/>
    </w:pPr>
    <w:rPr>
      <w:rFonts w:ascii="HG丸ｺﾞｼｯｸM-PRO" w:hAnsi="HG丸ｺﾞｼｯｸM-PRO" w:eastAsia="HG丸ｺﾞｼｯｸM-PRO"/>
    </w:rPr>
  </w:style>
  <w:style w:type="paragraph" w:styleId="23" w:customStyle="1">
    <w:name w:val="ヘッダ（青）奇数"/>
    <w:basedOn w:val="0"/>
    <w:next w:val="23"/>
    <w:link w:val="0"/>
    <w:uiPriority w:val="0"/>
    <w:qFormat/>
    <w:pPr>
      <w:pBdr>
        <w:bottom w:val="single" w:color="365F91" w:sz="4" w:space="1"/>
      </w:pBdr>
      <w:tabs>
        <w:tab w:val="center" w:leader="none" w:pos="4252"/>
        <w:tab w:val="right" w:leader="none" w:pos="8504"/>
      </w:tabs>
      <w:snapToGrid w:val="0"/>
      <w:ind w:firstLine="200"/>
      <w:jc w:val="right"/>
    </w:pPr>
    <w:rPr>
      <w:rFonts w:ascii="HG丸ｺﾞｼｯｸM-PRO" w:hAnsi="HG丸ｺﾞｼｯｸM-PRO" w:eastAsia="HG丸ｺﾞｼｯｸM-PRO"/>
      <w:color w:val="244061"/>
      <w:sz w:val="20"/>
    </w:rPr>
  </w:style>
  <w:style w:type="paragraph" w:styleId="24" w:customStyle="1">
    <w:name w:val="リード文"/>
    <w:basedOn w:val="0"/>
    <w:next w:val="24"/>
    <w:link w:val="0"/>
    <w:uiPriority w:val="0"/>
    <w:qFormat/>
    <w:pPr>
      <w:spacing w:before="138" w:beforeLines="50" w:beforeAutospacing="0" w:line="390" w:lineRule="atLeast"/>
      <w:ind w:firstLine="220" w:firstLineChars="100"/>
    </w:pPr>
    <w:rPr>
      <w:rFonts w:asciiTheme="minorEastAsia" w:hAnsiTheme="minorEastAsia" w:eastAsiaTheme="minorEastAsia"/>
      <w:sz w:val="22"/>
    </w:rPr>
  </w:style>
  <w:style w:type="paragraph" w:styleId="25" w:customStyle="1">
    <w:name w:val="章見出し"/>
    <w:basedOn w:val="0"/>
    <w:next w:val="25"/>
    <w:link w:val="0"/>
    <w:uiPriority w:val="0"/>
    <w:qFormat/>
    <w:pPr>
      <w:spacing w:line="1360" w:lineRule="exact"/>
      <w:jc w:val="right"/>
    </w:pPr>
    <w:rPr>
      <w:rFonts w:ascii="HGP創英角ｺﾞｼｯｸUB" w:hAnsi="HGP創英角ｺﾞｼｯｸUB" w:eastAsia="HGP創英角ｺﾞｼｯｸUB"/>
      <w:color w:val="42558C" w:themeColor="accent1" w:themeShade="BF"/>
      <w:sz w:val="96"/>
    </w:rPr>
  </w:style>
  <w:style w:type="paragraph" w:styleId="26" w:customStyle="1">
    <w:name w:val="本文（丸ゴシ）"/>
    <w:basedOn w:val="0"/>
    <w:next w:val="26"/>
    <w:link w:val="0"/>
    <w:uiPriority w:val="0"/>
    <w:qFormat/>
    <w:pPr>
      <w:spacing w:before="82" w:beforeLines="30" w:beforeAutospacing="0" w:line="390" w:lineRule="atLeast"/>
      <w:ind w:left="630" w:leftChars="300" w:firstLine="220" w:firstLineChars="100"/>
    </w:pPr>
    <w:rPr>
      <w:rFonts w:ascii="HG丸ｺﾞｼｯｸM-PRO" w:hAnsi="HG丸ｺﾞｼｯｸM-PRO" w:eastAsia="HG丸ｺﾞｼｯｸM-PRO"/>
      <w:sz w:val="22"/>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rFonts w:ascii="Century" w:hAnsi="Century" w:eastAsia="ＭＳ 明朝"/>
      <w:kern w:val="2"/>
      <w:sz w:val="21"/>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rFonts w:ascii="Century" w:hAnsi="Century" w:eastAsia="ＭＳ 明朝"/>
      <w:kern w:val="2"/>
      <w:sz w:val="21"/>
    </w:rPr>
  </w:style>
  <w:style w:type="paragraph" w:styleId="31">
    <w:name w:val="List Paragraph"/>
    <w:basedOn w:val="0"/>
    <w:next w:val="31"/>
    <w:link w:val="0"/>
    <w:uiPriority w:val="0"/>
    <w:qFormat/>
    <w:pPr>
      <w:ind w:left="960" w:leftChars="400"/>
    </w:pPr>
  </w:style>
  <w:style w:type="paragraph" w:styleId="32" w:customStyle="1">
    <w:name w:val="ヘッダ（青）偶数"/>
    <w:basedOn w:val="23"/>
    <w:next w:val="32"/>
    <w:link w:val="0"/>
    <w:uiPriority w:val="0"/>
    <w:qFormat/>
    <w:pPr>
      <w:ind w:firstLine="0"/>
      <w:jc w:val="left"/>
    </w:pPr>
  </w:style>
  <w:style w:type="paragraph" w:styleId="33" w:customStyle="1">
    <w:name w:val="本文（箇条書き）"/>
    <w:basedOn w:val="16"/>
    <w:next w:val="33"/>
    <w:link w:val="0"/>
    <w:uiPriority w:val="0"/>
    <w:qFormat/>
    <w:pPr>
      <w:ind w:left="850" w:leftChars="299" w:right="281" w:rightChars="134" w:hanging="222" w:hangingChars="101"/>
    </w:pPr>
  </w:style>
  <w:style w:type="character" w:styleId="34">
    <w:name w:val="page number"/>
    <w:basedOn w:val="10"/>
    <w:next w:val="34"/>
    <w:link w:val="0"/>
    <w:uiPriority w:val="0"/>
  </w:style>
  <w:style w:type="paragraph" w:styleId="35">
    <w:name w:val="Balloon Text"/>
    <w:basedOn w:val="0"/>
    <w:next w:val="35"/>
    <w:link w:val="36"/>
    <w:uiPriority w:val="0"/>
    <w:semiHidden/>
    <w:rPr>
      <w:rFonts w:ascii="ヒラギノ角ゴ ProN W3" w:hAnsi="ヒラギノ角ゴ ProN W3" w:eastAsia="ヒラギノ角ゴ ProN W3"/>
      <w:sz w:val="18"/>
    </w:rPr>
  </w:style>
  <w:style w:type="character" w:styleId="36" w:customStyle="1">
    <w:name w:val="吹き出し (文字)"/>
    <w:basedOn w:val="10"/>
    <w:next w:val="36"/>
    <w:link w:val="35"/>
    <w:uiPriority w:val="0"/>
    <w:rPr>
      <w:rFonts w:ascii="ヒラギノ角ゴ ProN W3" w:hAnsi="ヒラギノ角ゴ ProN W3" w:eastAsia="ヒラギノ角ゴ ProN W3"/>
      <w:kern w:val="2"/>
      <w:sz w:val="18"/>
    </w:rPr>
  </w:style>
  <w:style w:type="paragraph" w:styleId="37" w:customStyle="1">
    <w:name w:val="本文（丸ゴシ）箇条書き"/>
    <w:basedOn w:val="26"/>
    <w:next w:val="37"/>
    <w:link w:val="0"/>
    <w:uiPriority w:val="0"/>
    <w:qFormat/>
    <w:pPr>
      <w:spacing w:before="120" w:beforeLines="0" w:beforeAutospacing="0"/>
      <w:ind w:left="867" w:leftChars="305" w:hanging="196" w:firstLineChars="0"/>
    </w:pPr>
  </w:style>
  <w:style w:type="paragraph" w:styleId="38" w:customStyle="1">
    <w:name w:val="資料編表"/>
    <w:basedOn w:val="0"/>
    <w:next w:val="38"/>
    <w:link w:val="0"/>
    <w:uiPriority w:val="0"/>
    <w:qFormat/>
    <w:pPr>
      <w:widowControl w:val="1"/>
      <w:jc w:val="right"/>
    </w:pPr>
    <w:rPr>
      <w:rFonts w:asciiTheme="majorEastAsia" w:hAnsiTheme="majorEastAsia" w:eastAsiaTheme="majorEastAsia"/>
      <w:color w:val="000000"/>
      <w:kern w:val="0"/>
      <w:sz w:val="18"/>
    </w:rPr>
  </w:style>
  <w:style w:type="paragraph" w:styleId="39" w:customStyle="1">
    <w:name w:val="表（丸ゴシ）"/>
    <w:basedOn w:val="0"/>
    <w:next w:val="39"/>
    <w:link w:val="0"/>
    <w:uiPriority w:val="0"/>
    <w:qFormat/>
    <w:pPr>
      <w:spacing w:before="55" w:beforeLines="20" w:beforeAutospacing="0" w:after="55" w:afterLines="20" w:afterAutospacing="0" w:line="320" w:lineRule="exact"/>
    </w:pPr>
    <w:rPr>
      <w:rFonts w:ascii="HG丸ｺﾞｼｯｸM-PRO" w:hAnsi="HG丸ｺﾞｼｯｸM-PRO" w:eastAsia="HG丸ｺﾞｼｯｸM-PRO"/>
      <w:sz w:val="22"/>
    </w:rPr>
  </w:style>
  <w:style w:type="paragraph" w:styleId="40">
    <w:name w:val="caption"/>
    <w:basedOn w:val="0"/>
    <w:next w:val="0"/>
    <w:link w:val="0"/>
    <w:uiPriority w:val="0"/>
    <w:semiHidden/>
    <w:qFormat/>
    <w:rPr>
      <w:b w:val="1"/>
    </w:rPr>
  </w:style>
  <w:style w:type="character" w:styleId="41">
    <w:name w:val="annotation reference"/>
    <w:basedOn w:val="10"/>
    <w:next w:val="41"/>
    <w:link w:val="0"/>
    <w:uiPriority w:val="0"/>
    <w:semiHidden/>
    <w:rPr>
      <w:sz w:val="18"/>
    </w:rPr>
  </w:style>
  <w:style w:type="paragraph" w:styleId="42">
    <w:name w:val="annotation text"/>
    <w:basedOn w:val="0"/>
    <w:next w:val="42"/>
    <w:link w:val="43"/>
    <w:uiPriority w:val="0"/>
    <w:semiHidden/>
    <w:pPr>
      <w:jc w:val="left"/>
    </w:pPr>
  </w:style>
  <w:style w:type="character" w:styleId="43" w:customStyle="1">
    <w:name w:val="コメント文字列 (文字)"/>
    <w:basedOn w:val="10"/>
    <w:next w:val="43"/>
    <w:link w:val="42"/>
    <w:uiPriority w:val="0"/>
    <w:rPr>
      <w:rFonts w:ascii="Century" w:hAnsi="Century" w:eastAsia="ＭＳ 明朝"/>
      <w:kern w:val="2"/>
      <w:sz w:val="21"/>
    </w:rPr>
  </w:style>
  <w:style w:type="paragraph" w:styleId="44">
    <w:name w:val="annotation subject"/>
    <w:basedOn w:val="42"/>
    <w:next w:val="42"/>
    <w:link w:val="45"/>
    <w:uiPriority w:val="0"/>
    <w:semiHidden/>
    <w:rPr>
      <w:b w:val="1"/>
    </w:rPr>
  </w:style>
  <w:style w:type="character" w:styleId="45" w:customStyle="1">
    <w:name w:val="コメント内容 (文字)"/>
    <w:basedOn w:val="43"/>
    <w:next w:val="45"/>
    <w:link w:val="44"/>
    <w:uiPriority w:val="0"/>
    <w:rPr>
      <w:rFonts w:ascii="Century" w:hAnsi="Century" w:eastAsia="ＭＳ 明朝"/>
      <w:b w:val="1"/>
      <w:kern w:val="2"/>
      <w:sz w:val="21"/>
    </w:rPr>
  </w:style>
  <w:style w:type="character" w:styleId="46">
    <w:name w:val="footnote reference"/>
    <w:basedOn w:val="10"/>
    <w:next w:val="46"/>
    <w:link w:val="0"/>
    <w:uiPriority w:val="0"/>
    <w:semiHidden/>
    <w:rPr>
      <w:vertAlign w:val="superscript"/>
    </w:rPr>
  </w:style>
  <w:style w:type="character" w:styleId="47">
    <w:name w:val="endnote reference"/>
    <w:basedOn w:val="10"/>
    <w:next w:val="47"/>
    <w:link w:val="0"/>
    <w:uiPriority w:val="0"/>
    <w:semiHidden/>
    <w:rPr>
      <w:vertAlign w:val="superscript"/>
    </w:rPr>
  </w:style>
  <w:style w:type="table" w:styleId="48">
    <w:name w:val="Table Grid"/>
    <w:basedOn w:val="49"/>
    <w:next w:val="48"/>
    <w:link w:val="0"/>
    <w:uiPriority w:val="0"/>
    <w:rPr>
      <w:rFonts w:ascii="Century" w:hAnsi="Century"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hd w:val="clear" w:color="auto" w:fill="auto"/>
    </w:tcPr>
    <w:tblStylePr w:type="lastCol">
      <w:rPr>
        <w:i w:val="1"/>
      </w:rPr>
      <w:tblPr/>
      <w:trPr/>
      <w:tcPr>
        <w:tcBorders>
          <w:tl2br w:val="nil"/>
          <w:tr2bl w:val="nil"/>
        </w:tcBorders>
      </w:tcPr>
    </w:tblStylePr>
    <w:tblStylePr w:type="lastRow">
      <w:rPr>
        <w:i w:val="1"/>
      </w:rPr>
      <w:tblPr/>
      <w:trPr/>
      <w:tcPr>
        <w:tcBorders>
          <w:tl2br w:val="nil"/>
          <w:tr2bl w:val="nil"/>
        </w:tcBorders>
      </w:tcPr>
    </w:tblStylePr>
    <w:tblStylePr w:type="nwCell">
      <w:tblPr/>
      <w:trPr/>
      <w:tcPr>
        <w:tcBorders>
          <w:tl2br w:val="single" w:color="000000" w:sz="6" w:space="0"/>
          <w:tr2bl w:val="nil"/>
        </w:tcBorders>
      </w:tcPr>
    </w:tblStylePr>
  </w:style>
  <w:style w:type="table" w:styleId="49">
    <w:name w:val="Table Grid 1"/>
    <w:basedOn w:val="11"/>
    <w:next w:val="49"/>
    <w:link w:val="0"/>
    <w:uiPriority w:val="0"/>
    <w:pPr>
      <w:widowControl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cPr>
      <w:shd w:val="clear" w:color="auto" w:fill="auto"/>
    </w:tcPr>
    <w:tblStylePr w:type="lastCol">
      <w:rPr>
        <w:i w:val="1"/>
      </w:rPr>
      <w:tblPr/>
      <w:trPr/>
      <w:tcPr>
        <w:tcBorders>
          <w:tl2br w:val="nil"/>
          <w:tr2bl w:val="nil"/>
        </w:tcBorders>
      </w:tcPr>
    </w:tblStylePr>
    <w:tblStylePr w:type="lastRow">
      <w:rPr>
        <w:i w:val="1"/>
      </w:rPr>
      <w:tblPr/>
      <w:trPr/>
      <w:tcPr>
        <w:tcBorders>
          <w:tl2br w:val="nil"/>
          <w:tr2bl w:val="nil"/>
        </w:tcBorders>
      </w:tcPr>
    </w:tblStylePr>
    <w:tblStylePr w:type="nwCell">
      <w:tblPr/>
      <w:trPr/>
      <w:tcPr>
        <w:tcBorders>
          <w:tl2br w:val="single" w:color="000000" w:sz="6" w:space="0"/>
          <w:tr2bl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_rels/theme1.xml.rels><?xml version="1.0" encoding="UTF-8"?><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エグゼクティブ">
  <a:themeElements>
    <a:clrScheme name="エグゼクティブ">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エグゼクティブ">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エグゼクティブ">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tileRect/>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3</Pages>
  <Words>50</Words>
  <Characters>2042</Characters>
  <Application>JUST Note</Application>
  <Lines>1486</Lines>
  <Paragraphs>120</Paragraphs>
  <CharactersWithSpaces>2078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2019-10-31T07:19:00Z</dcterms:created>
  <dcterms:modified xsi:type="dcterms:W3CDTF">2021-04-15T02:39:59Z</dcterms:modified>
  <cp:revision>2</cp:revision>
</cp:coreProperties>
</file>