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before="120" w:beforeLines="0" w:beforeAutospacing="0"/>
        <w:ind w:left="0" w:leftChars="0" w:right="-2" w:firstLine="0"/>
        <w:jc w:val="center"/>
        <w:rPr>
          <w:rFonts w:hint="default" w:ascii="ＭＳ 明朝" w:hAnsi="ＭＳ 明朝" w:eastAsia="ＭＳ 明朝"/>
          <w:sz w:val="28"/>
        </w:rPr>
      </w:pPr>
      <w:bookmarkStart w:id="0" w:name="_GoBack"/>
      <w:bookmarkEnd w:id="0"/>
      <w:r>
        <w:rPr>
          <w:rFonts w:hint="eastAsia" w:ascii="ＭＳ 明朝" w:hAnsi="ＭＳ 明朝" w:eastAsia="ＭＳ 明朝"/>
          <w:sz w:val="28"/>
        </w:rPr>
        <w:t>都市景観形成基準適合確認書</w:t>
      </w:r>
    </w:p>
    <w:p>
      <w:pPr>
        <w:pStyle w:val="16"/>
        <w:spacing w:before="0" w:beforeLines="0" w:beforeAutospacing="0" w:after="117" w:afterLines="30" w:afterAutospacing="0"/>
        <w:ind w:left="0" w:leftChars="0" w:firstLine="0"/>
        <w:jc w:val="center"/>
        <w:rPr>
          <w:rFonts w:hint="default" w:ascii="HGP創英角ｺﾞｼｯｸUB" w:hAnsi="HGP創英角ｺﾞｼｯｸUB" w:eastAsia="HGP創英角ｺﾞｼｯｸUB"/>
          <w:sz w:val="24"/>
        </w:rPr>
      </w:pPr>
      <w:r>
        <w:rPr>
          <w:rFonts w:hint="eastAsia" w:ascii="ＭＳ 明朝" w:hAnsi="ＭＳ 明朝" w:eastAsia="ＭＳ 明朝"/>
          <w:sz w:val="28"/>
        </w:rPr>
        <w:t>（都市景観誘導地域）</w:t>
      </w:r>
    </w:p>
    <w:tbl>
      <w:tblPr>
        <w:tblStyle w:val="46"/>
        <w:tblW w:w="8841" w:type="dxa"/>
        <w:tblInd w:w="-10" w:type="dxa"/>
        <w:tblLayout w:type="fixed"/>
        <w:tblLook w:firstRow="1" w:lastRow="0" w:firstColumn="1" w:lastColumn="0" w:noHBand="0" w:noVBand="1" w:val="04A0"/>
      </w:tblPr>
      <w:tblGrid>
        <w:gridCol w:w="427"/>
        <w:gridCol w:w="493"/>
        <w:gridCol w:w="493"/>
        <w:gridCol w:w="6304"/>
        <w:gridCol w:w="1124"/>
      </w:tblGrid>
      <w:tr>
        <w:trPr>
          <w:trHeight w:val="684" w:hRule="atLeast"/>
        </w:trPr>
        <w:tc>
          <w:tcPr>
            <w:tcW w:w="7717" w:type="dxa"/>
            <w:gridSpan w:val="4"/>
            <w:tcBorders>
              <w:top w:val="single" w:color="auto" w:sz="12"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40" w:lineRule="exact"/>
              <w:ind w:left="480" w:hanging="480" w:hangingChars="200"/>
              <w:jc w:val="center"/>
              <w:rPr>
                <w:rFonts w:hint="default" w:ascii="ＭＳ 明朝" w:hAnsi="ＭＳ 明朝"/>
                <w:sz w:val="24"/>
              </w:rPr>
            </w:pPr>
            <w:r>
              <w:rPr>
                <w:rFonts w:hint="eastAsia" w:ascii="ＭＳ 明朝" w:hAnsi="ＭＳ 明朝"/>
                <w:sz w:val="24"/>
              </w:rPr>
              <w:t>都市景観形成基準</w:t>
            </w:r>
          </w:p>
        </w:tc>
        <w:tc>
          <w:tcPr>
            <w:tcW w:w="1124"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before="117" w:beforeLines="30" w:beforeAutospacing="0" w:line="240" w:lineRule="exact"/>
              <w:ind w:left="440" w:hanging="440" w:hangingChars="200"/>
              <w:jc w:val="center"/>
              <w:rPr>
                <w:rFonts w:hint="default" w:ascii="ＭＳ 明朝" w:hAnsi="ＭＳ 明朝"/>
                <w:sz w:val="22"/>
              </w:rPr>
            </w:pPr>
            <w:r>
              <w:rPr>
                <w:rFonts w:hint="eastAsia" w:ascii="ＭＳ 明朝" w:hAnsi="ＭＳ 明朝"/>
                <w:sz w:val="22"/>
              </w:rPr>
              <w:t>チェック</w:t>
            </w:r>
          </w:p>
          <w:p>
            <w:pPr>
              <w:pStyle w:val="0"/>
              <w:spacing w:before="39" w:beforeLines="10" w:beforeAutospacing="0" w:line="240" w:lineRule="exact"/>
              <w:ind w:left="440" w:hanging="440" w:hangingChars="200"/>
              <w:jc w:val="center"/>
              <w:rPr>
                <w:rFonts w:hint="default" w:ascii="ＭＳ 明朝" w:hAnsi="ＭＳ 明朝"/>
                <w:sz w:val="22"/>
              </w:rPr>
            </w:pPr>
            <w:r>
              <w:rPr>
                <w:rFonts w:hint="eastAsia" w:ascii="ＭＳ 明朝" w:hAnsi="ＭＳ 明朝"/>
                <w:sz w:val="22"/>
              </w:rPr>
              <w:t>欄</w:t>
            </w:r>
          </w:p>
        </w:tc>
      </w:tr>
      <w:tr>
        <w:trPr>
          <w:trHeight w:val="1275" w:hRule="atLeast"/>
        </w:trPr>
        <w:tc>
          <w:tcPr>
            <w:tcW w:w="427"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r>
              <w:rPr>
                <w:rFonts w:hint="eastAsia" w:ascii="ＭＳ 明朝" w:hAnsi="ＭＳ 明朝"/>
                <w:sz w:val="22"/>
              </w:rPr>
              <w:t>建築物及び工作物に関する基準</w:t>
            </w:r>
          </w:p>
          <w:p>
            <w:pPr>
              <w:pStyle w:val="0"/>
              <w:spacing w:before="100" w:beforeLines="0" w:beforeAutospacing="1" w:line="240" w:lineRule="exact"/>
              <w:ind w:left="330" w:hanging="330" w:hangingChars="150"/>
              <w:rPr>
                <w:rFonts w:hint="default" w:ascii="ＭＳ 明朝" w:hAnsi="ＭＳ 明朝"/>
                <w:sz w:val="22"/>
              </w:rPr>
            </w:pP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形態</w:t>
            </w:r>
          </w:p>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w:t>
            </w:r>
          </w:p>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意匠</w:t>
            </w: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公共空間（道路や河川、公園等）への正面性に配慮しつつ、周囲の町並みや環境との調和を図るとともに、壁面の後退や分節化などにより、圧迫感を与えないように配慮する。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1" w:after="30" w:afterLines="0" w:afterAutospacing="1" w:line="24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630" w:hRule="atLeast"/>
        </w:trPr>
        <w:tc>
          <w:tcPr>
            <w:tcW w:w="427" w:type="dxa"/>
            <w:vMerge w:val="continue"/>
            <w:tcBorders>
              <w:top w:val="single" w:color="auto" w:sz="8"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道路に面した車両の出入口は、必要以上に大きくならないようにし、町並みの連続性に配慮する。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1" w:after="30" w:afterLines="0" w:afterAutospacing="1"/>
              <w:jc w:val="center"/>
              <w:rPr>
                <w:rFonts w:hint="default" w:ascii="ＭＳ 明朝" w:hAnsi="ＭＳ 明朝"/>
                <w:sz w:val="22"/>
              </w:rPr>
            </w:pPr>
            <w:r>
              <w:rPr>
                <w:rFonts w:hint="eastAsia" w:ascii="ＭＳ 明朝" w:hAnsi="ＭＳ 明朝"/>
                <w:sz w:val="22"/>
              </w:rPr>
              <w:t>□</w:t>
            </w:r>
          </w:p>
        </w:tc>
      </w:tr>
      <w:tr>
        <w:trPr>
          <w:trHeight w:val="626" w:hRule="atLeast"/>
        </w:trPr>
        <w:tc>
          <w:tcPr>
            <w:tcW w:w="427" w:type="dxa"/>
            <w:vMerge w:val="continue"/>
            <w:tcBorders>
              <w:top w:val="single" w:color="auto" w:sz="8"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屋根や壁面の形態・意匠は、周辺の町並みや環境に配慮する。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1" w:after="30" w:afterLines="0" w:afterAutospacing="1"/>
              <w:jc w:val="center"/>
              <w:rPr>
                <w:rFonts w:hint="default"/>
              </w:rPr>
            </w:pPr>
            <w:r>
              <w:rPr>
                <w:rFonts w:hint="eastAsia" w:ascii="ＭＳ 明朝" w:hAnsi="ＭＳ 明朝"/>
                <w:sz w:val="22"/>
              </w:rPr>
              <w:t>□</w:t>
            </w:r>
          </w:p>
        </w:tc>
      </w:tr>
      <w:tr>
        <w:trPr>
          <w:trHeight w:val="808" w:hRule="atLeast"/>
        </w:trPr>
        <w:tc>
          <w:tcPr>
            <w:tcW w:w="427" w:type="dxa"/>
            <w:vMerge w:val="continue"/>
            <w:tcBorders>
              <w:top w:val="single" w:color="auto" w:sz="8"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共同住宅では、バルコニー等の形態の工夫により、公共空間（道路や河川、公園等）から洗濯物などが見えにくくなるように配慮する。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1" w:after="30" w:afterLines="0" w:afterAutospacing="1"/>
              <w:jc w:val="center"/>
              <w:rPr>
                <w:rFonts w:hint="default"/>
              </w:rPr>
            </w:pPr>
            <w:r>
              <w:rPr>
                <w:rFonts w:hint="eastAsia" w:ascii="ＭＳ 明朝" w:hAnsi="ＭＳ 明朝"/>
                <w:sz w:val="22"/>
              </w:rPr>
              <w:t>□</w:t>
            </w:r>
          </w:p>
        </w:tc>
      </w:tr>
      <w:tr>
        <w:trPr>
          <w:trHeight w:val="451" w:hRule="atLeast"/>
        </w:trPr>
        <w:tc>
          <w:tcPr>
            <w:tcW w:w="427" w:type="dxa"/>
            <w:vMerge w:val="continue"/>
            <w:tcBorders>
              <w:top w:val="single" w:color="auto" w:sz="8"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屋外階段は、建築物本体との一体感や調和に配慮する。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1" w:after="30" w:afterLines="0" w:afterAutospacing="1"/>
              <w:jc w:val="center"/>
              <w:rPr>
                <w:rFonts w:hint="default"/>
              </w:rPr>
            </w:pPr>
            <w:r>
              <w:rPr>
                <w:rFonts w:hint="eastAsia" w:ascii="ＭＳ 明朝" w:hAnsi="ＭＳ 明朝"/>
                <w:sz w:val="22"/>
              </w:rPr>
              <w:t>□</w:t>
            </w:r>
          </w:p>
        </w:tc>
      </w:tr>
      <w:tr>
        <w:trPr>
          <w:trHeight w:val="1001" w:hRule="atLeast"/>
        </w:trPr>
        <w:tc>
          <w:tcPr>
            <w:tcW w:w="427" w:type="dxa"/>
            <w:vMerge w:val="continue"/>
            <w:tcBorders>
              <w:top w:val="single" w:color="auto" w:sz="8"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屋外に設置される建築設備等については、公共空間（道路や河川、公園等）から目立たないような場所への設置や目隠しの設置について配慮する。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1" w:after="30" w:afterLines="0" w:afterAutospacing="1" w:line="24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458" w:hRule="atLeast"/>
        </w:trPr>
        <w:tc>
          <w:tcPr>
            <w:tcW w:w="427" w:type="dxa"/>
            <w:vMerge w:val="continue"/>
            <w:tcBorders>
              <w:top w:val="single" w:color="auto" w:sz="8"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il"/>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自然素材の使用に努める。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1" w:after="30" w:afterLines="0" w:afterAutospacing="1" w:line="24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48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shd w:val="clear" w:color="auto" w:fill="F3E6CA"/>
              </w:rPr>
            </w:pPr>
          </w:p>
        </w:tc>
        <w:tc>
          <w:tcPr>
            <w:tcW w:w="493" w:type="dxa"/>
            <w:vMerge w:val="restart"/>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493"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r>
              <w:rPr>
                <w:rFonts w:hint="eastAsia" w:ascii="ＭＳ 明朝" w:hAnsi="ＭＳ 明朝"/>
                <w:sz w:val="22"/>
              </w:rPr>
              <w:t>色彩の基準</w:t>
            </w: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建築物の外壁や工作物の外観を構成するものの色彩は、周囲の町並みや環境との調和を図るとともに、表</w:t>
            </w:r>
            <w:r>
              <w:rPr>
                <w:rFonts w:hint="eastAsia" w:ascii="ＭＳ 明朝" w:hAnsi="ＭＳ 明朝"/>
                <w:sz w:val="22"/>
              </w:rPr>
              <w:t>1</w:t>
            </w:r>
            <w:r>
              <w:rPr>
                <w:rFonts w:hint="eastAsia" w:ascii="ＭＳ 明朝" w:hAnsi="ＭＳ 明朝"/>
                <w:sz w:val="22"/>
              </w:rPr>
              <w:t>のとおりとする。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1" w:after="30" w:afterLines="0" w:afterAutospacing="1" w:line="24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937"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shd w:val="clear" w:color="auto" w:fill="F3E6CA"/>
              </w:rPr>
            </w:pPr>
          </w:p>
        </w:tc>
        <w:tc>
          <w:tcPr>
            <w:tcW w:w="493" w:type="dxa"/>
            <w:vMerge w:val="continue"/>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31" w:hanging="431" w:hangingChars="196"/>
              <w:jc w:val="left"/>
              <w:rPr>
                <w:rFonts w:hint="default" w:ascii="ＭＳ 明朝" w:hAnsi="ＭＳ 明朝"/>
                <w:sz w:val="22"/>
              </w:rPr>
            </w:pPr>
            <w:r>
              <w:rPr>
                <w:rFonts w:hint="eastAsia" w:ascii="ＭＳ 明朝" w:hAnsi="ＭＳ 明朝"/>
                <w:sz w:val="22"/>
              </w:rPr>
              <w:t>○　各立面につき、当該面積の</w:t>
            </w:r>
            <w:r>
              <w:rPr>
                <w:rFonts w:hint="eastAsia" w:ascii="ＭＳ 明朝" w:hAnsi="ＭＳ 明朝"/>
                <w:sz w:val="22"/>
              </w:rPr>
              <w:t>10</w:t>
            </w:r>
            <w:r>
              <w:rPr>
                <w:rFonts w:hint="eastAsia" w:ascii="ＭＳ 明朝" w:hAnsi="ＭＳ 明朝"/>
                <w:sz w:val="22"/>
              </w:rPr>
              <w:t>分の１以下の範囲内でアクセント色として着色される部分の色彩については、表</w:t>
            </w:r>
            <w:r>
              <w:rPr>
                <w:rFonts w:hint="eastAsia" w:ascii="ＭＳ 明朝" w:hAnsi="ＭＳ 明朝"/>
                <w:sz w:val="22"/>
              </w:rPr>
              <w:t>1</w:t>
            </w:r>
            <w:r>
              <w:rPr>
                <w:rFonts w:hint="eastAsia" w:ascii="ＭＳ 明朝" w:hAnsi="ＭＳ 明朝"/>
                <w:sz w:val="22"/>
              </w:rPr>
              <w:t>は適用しない。</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1" w:after="30" w:afterLines="0" w:afterAutospacing="1"/>
              <w:jc w:val="center"/>
              <w:rPr>
                <w:rFonts w:hint="default"/>
              </w:rPr>
            </w:pPr>
            <w:r>
              <w:rPr>
                <w:rFonts w:hint="eastAsia" w:ascii="ＭＳ 明朝" w:hAnsi="ＭＳ 明朝"/>
                <w:sz w:val="22"/>
              </w:rPr>
              <w:t>□</w:t>
            </w:r>
          </w:p>
        </w:tc>
      </w:tr>
      <w:tr>
        <w:trPr>
          <w:trHeight w:val="698"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shd w:val="clear" w:color="auto" w:fill="F3E6CA"/>
              </w:rPr>
            </w:pPr>
          </w:p>
        </w:tc>
        <w:tc>
          <w:tcPr>
            <w:tcW w:w="493" w:type="dxa"/>
            <w:vMerge w:val="continue"/>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31" w:hanging="431" w:hangingChars="196"/>
              <w:jc w:val="left"/>
              <w:rPr>
                <w:rFonts w:hint="default" w:ascii="ＭＳ 明朝" w:hAnsi="ＭＳ 明朝"/>
                <w:sz w:val="22"/>
              </w:rPr>
            </w:pPr>
            <w:r>
              <w:rPr>
                <w:rFonts w:hint="eastAsia" w:ascii="ＭＳ 明朝" w:hAnsi="ＭＳ 明朝"/>
                <w:sz w:val="22"/>
              </w:rPr>
              <w:t>○　建築物の外壁や工作物の外観を構成するものは、原色に近い色彩はできるだけ避けるものとする。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1" w:after="30" w:afterLines="0" w:afterAutospacing="1"/>
              <w:jc w:val="center"/>
              <w:rPr>
                <w:rFonts w:hint="default"/>
              </w:rPr>
            </w:pPr>
            <w:r>
              <w:rPr>
                <w:rFonts w:hint="eastAsia" w:ascii="ＭＳ 明朝" w:hAnsi="ＭＳ 明朝"/>
                <w:sz w:val="22"/>
              </w:rPr>
              <w:t>□</w:t>
            </w:r>
          </w:p>
        </w:tc>
      </w:tr>
      <w:tr>
        <w:trPr>
          <w:trHeight w:val="655"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shd w:val="clear" w:color="auto" w:fill="F3E6CA"/>
              </w:rPr>
            </w:pPr>
          </w:p>
        </w:tc>
        <w:tc>
          <w:tcPr>
            <w:tcW w:w="493" w:type="dxa"/>
            <w:vMerge w:val="continue"/>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shd w:val="clear" w:color="auto" w:fill="F1DED1"/>
              </w:rPr>
            </w:pPr>
            <w:r>
              <w:rPr>
                <w:rFonts w:hint="eastAsia" w:ascii="ＭＳ 明朝" w:hAnsi="ＭＳ 明朝"/>
                <w:sz w:val="22"/>
              </w:rPr>
              <w:t>〇　多色使い又はアクセント色の使用に際しては、使用する色彩相互の調和、使用する色の数や面積等のバランスに十分配慮する。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1" w:after="30" w:afterLines="0" w:afterAutospacing="1"/>
              <w:jc w:val="center"/>
              <w:rPr>
                <w:rFonts w:hint="default"/>
              </w:rPr>
            </w:pPr>
            <w:r>
              <w:rPr>
                <w:rFonts w:hint="eastAsia" w:ascii="ＭＳ 明朝" w:hAnsi="ＭＳ 明朝"/>
                <w:sz w:val="22"/>
              </w:rPr>
              <w:t>□</w:t>
            </w:r>
          </w:p>
        </w:tc>
      </w:tr>
      <w:tr>
        <w:trPr>
          <w:trHeight w:val="976" w:hRule="atLeast"/>
        </w:trPr>
        <w:tc>
          <w:tcPr>
            <w:tcW w:w="427"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shd w:val="clear" w:color="auto" w:fill="F3E6CA"/>
              </w:rPr>
            </w:pPr>
          </w:p>
        </w:tc>
        <w:tc>
          <w:tcPr>
            <w:tcW w:w="493" w:type="dxa"/>
            <w:vMerge w:val="continue"/>
            <w:tcBorders>
              <w:top w:val="nil"/>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493"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着色していない木材、土壁（漆喰仕上げを含む）、石材、</w:t>
            </w:r>
          </w:p>
          <w:p>
            <w:pPr>
              <w:pStyle w:val="0"/>
              <w:spacing w:before="78" w:beforeLines="20" w:beforeAutospacing="0" w:after="78" w:afterLines="20" w:afterAutospacing="0" w:line="280" w:lineRule="exact"/>
              <w:ind w:left="426" w:leftChars="203"/>
              <w:jc w:val="left"/>
              <w:rPr>
                <w:rFonts w:hint="default" w:ascii="ＭＳ 明朝" w:hAnsi="ＭＳ 明朝"/>
                <w:sz w:val="22"/>
              </w:rPr>
            </w:pPr>
            <w:r>
              <w:rPr>
                <w:rFonts w:hint="eastAsia" w:ascii="ＭＳ 明朝" w:hAnsi="ＭＳ 明朝"/>
                <w:sz w:val="22"/>
              </w:rPr>
              <w:t>ガラス、金属等の材料によって仕上げられる部分の色彩は、</w:t>
            </w:r>
            <w:r>
              <w:rPr>
                <w:rFonts w:hint="eastAsia" w:ascii="ＭＳ 明朝" w:hAnsi="ＭＳ 明朝"/>
              </w:rPr>
              <w:t>表１は適用しない。</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1" w:after="30" w:afterLines="0" w:afterAutospacing="1"/>
              <w:jc w:val="center"/>
              <w:rPr>
                <w:rFonts w:hint="default"/>
              </w:rPr>
            </w:pPr>
            <w:r>
              <w:rPr>
                <w:rFonts w:hint="eastAsia" w:ascii="ＭＳ 明朝" w:hAnsi="ＭＳ 明朝"/>
                <w:sz w:val="22"/>
              </w:rPr>
              <w:t>□</w:t>
            </w:r>
          </w:p>
        </w:tc>
      </w:tr>
      <w:tr>
        <w:trPr>
          <w:trHeight w:val="410" w:hRule="atLeast"/>
        </w:trPr>
        <w:tc>
          <w:tcPr>
            <w:tcW w:w="427" w:type="dxa"/>
            <w:vMerge w:val="continue"/>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shd w:val="clear" w:color="auto" w:fill="F3E6CA"/>
              </w:rPr>
            </w:pPr>
          </w:p>
        </w:tc>
        <w:tc>
          <w:tcPr>
            <w:tcW w:w="493"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493"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31" w:hanging="431" w:hangingChars="196"/>
              <w:jc w:val="left"/>
              <w:rPr>
                <w:rFonts w:hint="default" w:ascii="ＭＳ 明朝" w:hAnsi="ＭＳ 明朝"/>
                <w:sz w:val="22"/>
              </w:rPr>
            </w:pPr>
            <w:r>
              <w:rPr>
                <w:rFonts w:hint="eastAsia" w:ascii="ＭＳ 明朝" w:hAnsi="ＭＳ 明朝"/>
                <w:sz w:val="22"/>
              </w:rPr>
              <w:t>○　他の法令により定められた色彩については、この制限を受けないものとする。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1" w:after="30" w:afterLines="0" w:afterAutospacing="1"/>
              <w:jc w:val="center"/>
              <w:rPr>
                <w:rFonts w:hint="default"/>
              </w:rPr>
            </w:pPr>
            <w:r>
              <w:rPr>
                <w:rFonts w:hint="eastAsia" w:ascii="ＭＳ 明朝" w:hAnsi="ＭＳ 明朝"/>
                <w:sz w:val="22"/>
              </w:rPr>
              <w:t>□</w:t>
            </w:r>
          </w:p>
        </w:tc>
      </w:tr>
      <w:tr>
        <w:trPr>
          <w:trHeight w:val="1836" w:hRule="atLeast"/>
        </w:trPr>
        <w:tc>
          <w:tcPr>
            <w:tcW w:w="427"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r>
              <w:rPr>
                <w:rFonts w:hint="eastAsia" w:ascii="ＭＳ 明朝" w:hAnsi="ＭＳ 明朝"/>
                <w:sz w:val="22"/>
              </w:rPr>
              <w:t>建築物及び工作物に関する基準</w:t>
            </w: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形態・意匠への配慮・工夫事項の説明</w:t>
            </w:r>
          </w:p>
        </w:tc>
        <w:tc>
          <w:tcPr>
            <w:tcW w:w="7428"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before="39" w:beforeLines="10" w:beforeAutospacing="0" w:after="30" w:afterLines="0" w:afterAutospacing="0" w:line="220" w:lineRule="exact"/>
              <w:ind w:left="440" w:hanging="440" w:hangingChars="200"/>
              <w:rPr>
                <w:rFonts w:hint="default" w:ascii="ＭＳ 明朝" w:hAnsi="ＭＳ 明朝"/>
                <w:sz w:val="22"/>
                <w:shd w:val="clear" w:color="auto" w:fill="F3E6CA"/>
              </w:rPr>
            </w:pPr>
          </w:p>
        </w:tc>
      </w:tr>
      <w:tr>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門塀・</w:t>
            </w:r>
          </w:p>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擁壁等</w:t>
            </w: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31" w:hanging="431" w:hangingChars="196"/>
              <w:jc w:val="left"/>
              <w:rPr>
                <w:rFonts w:hint="default" w:ascii="ＭＳ 明朝" w:hAnsi="ＭＳ 明朝"/>
                <w:sz w:val="22"/>
              </w:rPr>
            </w:pPr>
            <w:r>
              <w:rPr>
                <w:rFonts w:hint="eastAsia" w:ascii="ＭＳ 明朝" w:hAnsi="ＭＳ 明朝"/>
                <w:sz w:val="22"/>
              </w:rPr>
              <w:t>○　道路に面して門塀、擁壁等を設ける場合は、その前面に植樹するなど圧迫感を与えないように配慮する。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9" w:beforeLines="10" w:beforeAutospacing="0" w:after="30" w:afterLines="0" w:afterAutospacing="0" w:line="220" w:lineRule="exact"/>
              <w:ind w:left="440" w:hanging="440" w:hangingChars="200"/>
              <w:jc w:val="center"/>
              <w:rPr>
                <w:rFonts w:hint="default" w:ascii="ＭＳ 明朝" w:hAnsi="ＭＳ 明朝"/>
                <w:sz w:val="22"/>
                <w:shd w:val="clear" w:color="auto" w:fill="F3E6CA"/>
              </w:rPr>
            </w:pPr>
            <w:r>
              <w:rPr>
                <w:rFonts w:hint="eastAsia" w:ascii="ＭＳ 明朝" w:hAnsi="ＭＳ 明朝"/>
                <w:sz w:val="22"/>
              </w:rPr>
              <w:t>□</w:t>
            </w:r>
          </w:p>
        </w:tc>
      </w:tr>
      <w:tr>
        <w:trPr>
          <w:trHeight w:val="1704" w:hRule="atLeast"/>
        </w:trPr>
        <w:tc>
          <w:tcPr>
            <w:tcW w:w="427"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20" w:lineRule="exact"/>
              <w:jc w:val="center"/>
              <w:rPr>
                <w:rFonts w:hint="default" w:ascii="ＭＳ 明朝" w:hAnsi="ＭＳ 明朝"/>
                <w:sz w:val="22"/>
              </w:rPr>
            </w:pPr>
            <w:r>
              <w:rPr>
                <w:rFonts w:hint="eastAsia" w:ascii="ＭＳ 明朝" w:hAnsi="ＭＳ 明朝"/>
                <w:sz w:val="22"/>
              </w:rPr>
              <w:t>門塀・擁壁等への配慮・工夫事項の説明</w:t>
            </w:r>
          </w:p>
        </w:tc>
        <w:tc>
          <w:tcPr>
            <w:tcW w:w="7428"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before="39" w:beforeLines="10" w:beforeAutospacing="0" w:after="30" w:afterLines="0" w:afterAutospacing="0" w:line="220" w:lineRule="exact"/>
              <w:ind w:left="440" w:hanging="440" w:hangingChars="200"/>
              <w:rPr>
                <w:rFonts w:hint="default" w:ascii="ＭＳ 明朝" w:hAnsi="ＭＳ 明朝"/>
                <w:sz w:val="22"/>
                <w:shd w:val="clear" w:color="auto" w:fill="F3E6CA"/>
              </w:rPr>
            </w:pPr>
          </w:p>
        </w:tc>
      </w:tr>
      <w:tr>
        <w:trPr>
          <w:trHeight w:val="485" w:hRule="atLeast"/>
        </w:trPr>
        <w:tc>
          <w:tcPr>
            <w:tcW w:w="427"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r>
              <w:rPr>
                <w:rFonts w:hint="eastAsia" w:ascii="ＭＳ 明朝" w:hAnsi="ＭＳ 明朝"/>
                <w:sz w:val="22"/>
              </w:rPr>
              <w:t>その他の基準</w:t>
            </w: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夜間</w:t>
            </w:r>
          </w:p>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景観</w:t>
            </w: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31" w:hanging="431" w:hangingChars="196"/>
              <w:jc w:val="left"/>
              <w:rPr>
                <w:rFonts w:hint="default" w:ascii="ＭＳ 明朝" w:hAnsi="ＭＳ 明朝"/>
                <w:sz w:val="22"/>
              </w:rPr>
            </w:pPr>
            <w:r>
              <w:rPr>
                <w:rFonts w:hint="eastAsia" w:ascii="ＭＳ 明朝" w:hAnsi="ＭＳ 明朝"/>
                <w:sz w:val="22"/>
              </w:rPr>
              <w:t>○　屋外の照明は、周辺環境に配慮し過剰な光が周囲に拡散しないように配慮する。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jc w:val="center"/>
              <w:rPr>
                <w:rFonts w:hint="default"/>
              </w:rPr>
            </w:pPr>
            <w:r>
              <w:rPr>
                <w:rFonts w:hint="eastAsia" w:ascii="ＭＳ 明朝" w:hAnsi="ＭＳ 明朝"/>
                <w:sz w:val="22"/>
              </w:rPr>
              <w:t>□</w:t>
            </w:r>
          </w:p>
        </w:tc>
      </w:tr>
      <w:tr>
        <w:trPr>
          <w:trHeight w:val="78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31" w:hanging="431" w:hangingChars="196"/>
              <w:jc w:val="left"/>
              <w:rPr>
                <w:rFonts w:hint="default" w:ascii="ＭＳ 明朝" w:hAnsi="ＭＳ 明朝"/>
                <w:sz w:val="22"/>
              </w:rPr>
            </w:pPr>
            <w:r>
              <w:rPr>
                <w:rFonts w:hint="eastAsia" w:ascii="ＭＳ 明朝" w:hAnsi="ＭＳ 明朝"/>
                <w:sz w:val="22"/>
              </w:rPr>
              <w:t>○　屋外の照明は、建築物や工作物の形態・意匠や用途に合わせ、それぞれにふさわしい色温度となるように配慮する。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jc w:val="center"/>
              <w:rPr>
                <w:rFonts w:hint="default"/>
              </w:rPr>
            </w:pPr>
            <w:r>
              <w:rPr>
                <w:rFonts w:hint="eastAsia" w:ascii="ＭＳ 明朝" w:hAnsi="ＭＳ 明朝"/>
                <w:sz w:val="22"/>
              </w:rPr>
              <w:t>□</w:t>
            </w:r>
          </w:p>
        </w:tc>
      </w:tr>
      <w:tr>
        <w:trPr>
          <w:trHeight w:val="27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屋外</w:t>
            </w:r>
          </w:p>
          <w:p>
            <w:pPr>
              <w:pStyle w:val="0"/>
              <w:spacing w:before="39" w:beforeLines="10" w:beforeAutospacing="0" w:line="220" w:lineRule="exact"/>
              <w:jc w:val="center"/>
              <w:rPr>
                <w:rFonts w:hint="default" w:ascii="ＭＳ 明朝" w:hAnsi="ＭＳ 明朝"/>
                <w:sz w:val="22"/>
                <w:shd w:val="clear" w:color="auto" w:fill="F3E6CA"/>
              </w:rPr>
            </w:pPr>
            <w:r>
              <w:rPr>
                <w:rFonts w:hint="eastAsia" w:ascii="ＭＳ 明朝" w:hAnsi="ＭＳ 明朝"/>
                <w:sz w:val="22"/>
              </w:rPr>
              <w:t>広告物</w:t>
            </w:r>
          </w:p>
        </w:tc>
        <w:tc>
          <w:tcPr>
            <w:tcW w:w="6304"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〇　川越市屋外広告物条例や関係法令を遵守する。</w:t>
            </w:r>
          </w:p>
        </w:tc>
        <w:tc>
          <w:tcPr>
            <w:tcW w:w="1124" w:type="dxa"/>
            <w:tcBorders>
              <w:top w:val="single" w:color="auto" w:sz="6" w:space="0"/>
              <w:left w:val="single" w:color="auto" w:sz="4"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jc w:val="center"/>
              <w:rPr>
                <w:rFonts w:hint="default"/>
              </w:rPr>
            </w:pPr>
            <w:r>
              <w:rPr>
                <w:rFonts w:hint="eastAsia" w:ascii="ＭＳ 明朝" w:hAnsi="ＭＳ 明朝"/>
                <w:sz w:val="22"/>
              </w:rPr>
              <w:t>□</w:t>
            </w:r>
          </w:p>
        </w:tc>
      </w:tr>
      <w:tr>
        <w:trPr>
          <w:trHeight w:val="54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屋外広告物は、配置計画や建築計画と一体的な形態・意匠となるように配慮する。</w:t>
            </w:r>
          </w:p>
        </w:tc>
        <w:tc>
          <w:tcPr>
            <w:tcW w:w="1124" w:type="dxa"/>
            <w:tcBorders>
              <w:top w:val="single" w:color="auto" w:sz="6" w:space="0"/>
              <w:left w:val="single" w:color="auto" w:sz="4"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jc w:val="center"/>
              <w:rPr>
                <w:rFonts w:hint="default"/>
              </w:rPr>
            </w:pPr>
            <w:r>
              <w:rPr>
                <w:rFonts w:hint="eastAsia" w:ascii="ＭＳ 明朝" w:hAnsi="ＭＳ 明朝"/>
                <w:sz w:val="22"/>
              </w:rPr>
              <w:t>□</w:t>
            </w:r>
          </w:p>
        </w:tc>
      </w:tr>
      <w:tr>
        <w:trPr>
          <w:trHeight w:val="21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緑化等</w:t>
            </w:r>
          </w:p>
        </w:tc>
        <w:tc>
          <w:tcPr>
            <w:tcW w:w="6304"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top"/>
          </w:tcPr>
          <w:p>
            <w:pPr>
              <w:pStyle w:val="0"/>
              <w:spacing w:before="78" w:beforeLines="20" w:beforeAutospacing="0" w:after="78" w:afterLines="20" w:afterAutospacing="0" w:line="280" w:lineRule="exact"/>
              <w:jc w:val="left"/>
              <w:rPr>
                <w:rFonts w:hint="default" w:ascii="ＭＳ 明朝" w:hAnsi="ＭＳ 明朝"/>
                <w:sz w:val="22"/>
              </w:rPr>
            </w:pPr>
            <w:r>
              <w:rPr>
                <w:rFonts w:hint="eastAsia" w:ascii="ＭＳ 明朝" w:hAnsi="ＭＳ 明朝"/>
                <w:sz w:val="22"/>
              </w:rPr>
              <w:t>○　既存樹木については、できる限り保存し活かす。</w:t>
            </w:r>
          </w:p>
        </w:tc>
        <w:tc>
          <w:tcPr>
            <w:tcW w:w="1124" w:type="dxa"/>
            <w:tcBorders>
              <w:top w:val="single" w:color="auto" w:sz="6" w:space="0"/>
              <w:left w:val="single" w:color="auto" w:sz="4"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jc w:val="center"/>
              <w:rPr>
                <w:rFonts w:hint="default"/>
              </w:rPr>
            </w:pPr>
            <w:r>
              <w:rPr>
                <w:rFonts w:hint="eastAsia" w:ascii="ＭＳ 明朝" w:hAnsi="ＭＳ 明朝"/>
                <w:sz w:val="22"/>
              </w:rPr>
              <w:t>□</w:t>
            </w:r>
          </w:p>
        </w:tc>
      </w:tr>
      <w:tr>
        <w:trPr>
          <w:trHeight w:val="63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gridSpan w:val="2"/>
            <w:vMerge w:val="continue"/>
            <w:tcBorders>
              <w:top w:val="single" w:color="auto" w:sz="8"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公共空間（道路や河川、公園等）に接する部分については緑化を図るなど、空間のつながり方に配慮する。</w:t>
            </w:r>
          </w:p>
        </w:tc>
        <w:tc>
          <w:tcPr>
            <w:tcW w:w="1124" w:type="dxa"/>
            <w:tcBorders>
              <w:top w:val="single" w:color="auto" w:sz="6" w:space="0"/>
              <w:left w:val="single" w:color="auto" w:sz="4" w:space="0"/>
              <w:bottom w:val="single" w:color="auto" w:sz="6" w:space="0"/>
              <w:right w:val="single" w:color="auto" w:sz="12" w:space="0"/>
              <w:tl2br w:val="none" w:color="auto" w:sz="0" w:space="0"/>
              <w:tr2bl w:val="none" w:color="auto" w:sz="0" w:space="0"/>
            </w:tcBorders>
            <w:vAlign w:val="center"/>
          </w:tcPr>
          <w:p>
            <w:pPr>
              <w:pStyle w:val="0"/>
              <w:spacing w:before="30" w:beforeLines="0" w:beforeAutospacing="0" w:after="30" w:afterLines="0" w:afterAutospacing="0"/>
              <w:jc w:val="center"/>
              <w:rPr>
                <w:rFonts w:hint="default"/>
              </w:rPr>
            </w:pPr>
            <w:r>
              <w:rPr>
                <w:rFonts w:hint="eastAsia" w:ascii="ＭＳ 明朝" w:hAnsi="ＭＳ 明朝"/>
                <w:sz w:val="22"/>
              </w:rPr>
              <w:t>□</w:t>
            </w:r>
          </w:p>
        </w:tc>
      </w:tr>
      <w:tr>
        <w:trPr>
          <w:trHeight w:val="1698" w:hRule="atLeast"/>
        </w:trPr>
        <w:tc>
          <w:tcPr>
            <w:tcW w:w="427" w:type="dxa"/>
            <w:vMerge w:val="continue"/>
            <w:tcBorders>
              <w:top w:val="none" w:color="auto" w:sz="0" w:space="0"/>
              <w:left w:val="single" w:color="auto" w:sz="12" w:space="0"/>
              <w:bottom w:val="single" w:color="auto" w:sz="12"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986" w:type="dxa"/>
            <w:gridSpan w:val="2"/>
            <w:tcBorders>
              <w:top w:val="single" w:color="auto" w:sz="6" w:space="0"/>
              <w:left w:val="single" w:color="auto" w:sz="6" w:space="0"/>
              <w:bottom w:val="single" w:color="auto" w:sz="12" w:space="0"/>
              <w:right w:val="single" w:color="auto" w:sz="4" w:space="0"/>
              <w:tl2br w:val="none" w:color="auto" w:sz="0" w:space="0"/>
              <w:tr2bl w:val="none" w:color="auto" w:sz="0" w:space="0"/>
            </w:tcBorders>
            <w:vAlign w:val="center"/>
          </w:tcPr>
          <w:p>
            <w:pPr>
              <w:pStyle w:val="0"/>
              <w:spacing w:before="117" w:beforeLines="30" w:beforeAutospacing="0" w:after="117" w:afterLines="30" w:afterAutospacing="0" w:line="220" w:lineRule="exact"/>
              <w:jc w:val="center"/>
              <w:rPr>
                <w:rFonts w:hint="default" w:ascii="ＭＳ 明朝" w:hAnsi="ＭＳ 明朝"/>
                <w:sz w:val="22"/>
              </w:rPr>
            </w:pPr>
            <w:r>
              <w:rPr>
                <w:rFonts w:hint="eastAsia" w:ascii="ＭＳ 明朝" w:hAnsi="ＭＳ 明朝"/>
                <w:sz w:val="22"/>
              </w:rPr>
              <w:t>その他の基準への配慮・工夫事項の説明</w:t>
            </w:r>
          </w:p>
        </w:tc>
        <w:tc>
          <w:tcPr>
            <w:tcW w:w="7428"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before="39" w:beforeLines="10" w:beforeAutospacing="0" w:after="30" w:afterLines="0" w:afterAutospacing="0" w:line="240" w:lineRule="exact"/>
              <w:jc w:val="left"/>
              <w:rPr>
                <w:rFonts w:hint="default" w:ascii="ＭＳ 明朝" w:hAnsi="ＭＳ 明朝"/>
                <w:sz w:val="22"/>
              </w:rPr>
            </w:pPr>
          </w:p>
        </w:tc>
      </w:tr>
    </w:tbl>
    <w:p>
      <w:pPr>
        <w:pStyle w:val="0"/>
        <w:widowControl w:val="1"/>
        <w:jc w:val="left"/>
        <w:rPr>
          <w:rFonts w:hint="default"/>
          <w:sz w:val="24"/>
        </w:rPr>
      </w:pPr>
      <w:r>
        <w:rPr>
          <w:rFonts w:hint="default" w:asciiTheme="majorEastAsia" w:hAnsiTheme="majorEastAsia" w:eastAsiaTheme="majorEastAsia"/>
          <w:sz w:val="20"/>
        </w:rPr>
        <mc:AlternateContent>
          <mc:Choice Requires="wps">
            <w:drawing>
              <wp:anchor distT="0" distB="0" distL="114300" distR="114300" simplePos="0" relativeHeight="2" behindDoc="0" locked="0" layoutInCell="1" hidden="0" allowOverlap="1">
                <wp:simplePos x="0" y="0"/>
                <wp:positionH relativeFrom="column">
                  <wp:posOffset>-200025</wp:posOffset>
                </wp:positionH>
                <wp:positionV relativeFrom="paragraph">
                  <wp:posOffset>243840</wp:posOffset>
                </wp:positionV>
                <wp:extent cx="5873115" cy="1750695"/>
                <wp:effectExtent l="0" t="0" r="635" b="635"/>
                <wp:wrapNone/>
                <wp:docPr id="1026" name="Text Box 204"/>
                <a:graphic xmlns:a="http://schemas.openxmlformats.org/drawingml/2006/main">
                  <a:graphicData uri="http://schemas.microsoft.com/office/word/2010/wordprocessingShape">
                    <wps:wsp>
                      <wps:cNvPr id="1026" name="Text Box 204"/>
                      <wps:cNvSpPr txBox="1">
                        <a:spLocks noChangeArrowheads="1"/>
                      </wps:cNvSpPr>
                      <wps:spPr>
                        <a:xfrm>
                          <a:off x="0" y="0"/>
                          <a:ext cx="5873115" cy="1750695"/>
                        </a:xfrm>
                        <a:prstGeom prst="rect">
                          <a:avLst/>
                        </a:prstGeom>
                        <a:noFill/>
                        <a:ln>
                          <a:noFill/>
                        </a:ln>
                      </wps:spPr>
                      <wps:txbx>
                        <w:txbxContent>
                          <w:p>
                            <w:pPr>
                              <w:pStyle w:val="0"/>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＜表</w:t>
                            </w:r>
                            <w:r>
                              <w:rPr>
                                <w:rFonts w:hint="eastAsia" w:asciiTheme="majorEastAsia" w:hAnsiTheme="majorEastAsia" w:eastAsiaTheme="majorEastAsia"/>
                                <w:sz w:val="22"/>
                              </w:rPr>
                              <w:t>1</w:t>
                            </w:r>
                            <w:r>
                              <w:rPr>
                                <w:rFonts w:hint="default" w:asciiTheme="majorEastAsia" w:hAnsiTheme="majorEastAsia" w:eastAsiaTheme="majorEastAsia"/>
                                <w:sz w:val="22"/>
                              </w:rPr>
                              <w:t>　</w:t>
                            </w:r>
                            <w:r>
                              <w:rPr>
                                <w:rFonts w:hint="eastAsia" w:asciiTheme="majorEastAsia" w:hAnsiTheme="majorEastAsia" w:eastAsiaTheme="majorEastAsia"/>
                                <w:sz w:val="22"/>
                              </w:rPr>
                              <w:t>都市景観誘導地域の色彩の</w:t>
                            </w:r>
                            <w:r>
                              <w:rPr>
                                <w:rFonts w:hint="default" w:asciiTheme="majorEastAsia" w:hAnsiTheme="majorEastAsia" w:eastAsiaTheme="majorEastAsia"/>
                                <w:sz w:val="22"/>
                              </w:rPr>
                              <w:t>範囲</w:t>
                            </w:r>
                            <w:r>
                              <w:rPr>
                                <w:rFonts w:hint="eastAsia" w:asciiTheme="majorEastAsia" w:hAnsiTheme="majorEastAsia" w:eastAsiaTheme="majorEastAsia"/>
                                <w:sz w:val="22"/>
                              </w:rPr>
                              <w:t>＞</w:t>
                            </w:r>
                          </w:p>
                          <w:p>
                            <w:pPr>
                              <w:pStyle w:val="0"/>
                              <w:spacing w:line="240" w:lineRule="exact"/>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（数値はマンセル表色法によるマンセル値）</w:t>
                            </w:r>
                          </w:p>
                          <w:tbl>
                            <w:tblPr>
                              <w:tblStyle w:val="11"/>
                              <w:tblW w:w="825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81"/>
                              <w:gridCol w:w="1984"/>
                              <w:gridCol w:w="1985"/>
                            </w:tblGrid>
                            <w:tr>
                              <w:trPr/>
                              <w:tc>
                                <w:tcPr>
                                  <w:tcW w:w="4281"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色　　相</w:t>
                                  </w:r>
                                </w:p>
                              </w:tc>
                              <w:tc>
                                <w:tcPr>
                                  <w:tcW w:w="1984"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明　</w:t>
                                  </w:r>
                                  <w:r>
                                    <w:rPr>
                                      <w:rFonts w:hint="default" w:ascii="ＭＳ ゴシック" w:hAnsi="ＭＳ ゴシック" w:eastAsia="ＭＳ ゴシック"/>
                                      <w:sz w:val="22"/>
                                    </w:rPr>
                                    <w:t>　</w:t>
                                  </w:r>
                                  <w:r>
                                    <w:rPr>
                                      <w:rFonts w:hint="eastAsia" w:ascii="ＭＳ ゴシック" w:hAnsi="ＭＳ ゴシック" w:eastAsia="ＭＳ ゴシック"/>
                                      <w:sz w:val="22"/>
                                    </w:rPr>
                                    <w:t>度</w:t>
                                  </w:r>
                                </w:p>
                              </w:tc>
                              <w:tc>
                                <w:tcPr>
                                  <w:tcW w:w="1985"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彩　</w:t>
                                  </w:r>
                                  <w:r>
                                    <w:rPr>
                                      <w:rFonts w:hint="default" w:ascii="ＭＳ ゴシック" w:hAnsi="ＭＳ ゴシック" w:eastAsia="ＭＳ ゴシック"/>
                                      <w:sz w:val="22"/>
                                    </w:rPr>
                                    <w:t>　</w:t>
                                  </w:r>
                                  <w:r>
                                    <w:rPr>
                                      <w:rFonts w:hint="eastAsia" w:ascii="ＭＳ ゴシック" w:hAnsi="ＭＳ ゴシック" w:eastAsia="ＭＳ ゴシック"/>
                                      <w:sz w:val="22"/>
                                    </w:rPr>
                                    <w:t>度</w:t>
                                  </w:r>
                                </w:p>
                              </w:tc>
                            </w:tr>
                            <w:tr>
                              <w:trPr>
                                <w:trHeight w:val="63" w:hRule="atLeast"/>
                              </w:trPr>
                              <w:tc>
                                <w:tcPr>
                                  <w:tcW w:w="4281"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7.5R</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は含まない）</w:t>
                                  </w:r>
                                </w:p>
                              </w:tc>
                              <w:tc>
                                <w:tcPr>
                                  <w:tcW w:w="1984"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1985" w:type="dxa"/>
                                  <w:vAlign w:val="center"/>
                                </w:tcPr>
                                <w:p>
                                  <w:pPr>
                                    <w:pStyle w:val="0"/>
                                    <w:spacing w:before="39" w:beforeLines="10" w:beforeAutospacing="0" w:after="39"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以下</w:t>
                                  </w:r>
                                </w:p>
                              </w:tc>
                            </w:tr>
                            <w:tr>
                              <w:trPr>
                                <w:trHeight w:val="74" w:hRule="atLeast"/>
                              </w:trPr>
                              <w:tc>
                                <w:tcPr>
                                  <w:tcW w:w="4281"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7.5GY(7.5GY</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1984"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1985" w:type="dxa"/>
                                  <w:vAlign w:val="center"/>
                                </w:tcPr>
                                <w:p>
                                  <w:pPr>
                                    <w:pStyle w:val="0"/>
                                    <w:spacing w:before="39" w:beforeLines="10" w:beforeAutospacing="0" w:after="39"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r>
                              <w:trPr>
                                <w:trHeight w:val="74" w:hRule="atLeast"/>
                              </w:trPr>
                              <w:tc>
                                <w:tcPr>
                                  <w:tcW w:w="4281"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7.5GY</w:t>
                                  </w:r>
                                  <w:r>
                                    <w:rPr>
                                      <w:rFonts w:hint="eastAsia" w:ascii="ＭＳ ゴシック" w:hAnsi="ＭＳ ゴシック" w:eastAsia="ＭＳ ゴシック"/>
                                      <w:sz w:val="22"/>
                                    </w:rPr>
                                    <w:t>〜</w:t>
                                  </w:r>
                                  <w:r>
                                    <w:rPr>
                                      <w:rFonts w:hint="eastAsia" w:ascii="ＭＳ ゴシック" w:hAnsi="ＭＳ ゴシック" w:eastAsia="ＭＳ ゴシック"/>
                                      <w:sz w:val="22"/>
                                    </w:rPr>
                                    <w:t>7.5RP(7.5RP</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1984"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1985" w:type="dxa"/>
                                  <w:vAlign w:val="center"/>
                                </w:tcPr>
                                <w:p>
                                  <w:pPr>
                                    <w:pStyle w:val="0"/>
                                    <w:spacing w:before="39" w:beforeLines="10" w:beforeAutospacing="0" w:after="39"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以下</w:t>
                                  </w:r>
                                </w:p>
                              </w:tc>
                            </w:tr>
                            <w:tr>
                              <w:trPr>
                                <w:trHeight w:val="63" w:hRule="atLeast"/>
                              </w:trPr>
                              <w:tc>
                                <w:tcPr>
                                  <w:tcW w:w="4281"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7.5RP</w:t>
                                  </w:r>
                                  <w:r>
                                    <w:rPr>
                                      <w:rFonts w:hint="eastAsia" w:ascii="ＭＳ ゴシック" w:hAnsi="ＭＳ ゴシック" w:eastAsia="ＭＳ ゴシック"/>
                                      <w:sz w:val="22"/>
                                    </w:rPr>
                                    <w:t>〜</w:t>
                                  </w:r>
                                  <w:r>
                                    <w:rPr>
                                      <w:rFonts w:hint="eastAsia" w:ascii="ＭＳ ゴシック" w:hAnsi="ＭＳ ゴシック" w:eastAsia="ＭＳ ゴシック"/>
                                      <w:sz w:val="22"/>
                                    </w:rPr>
                                    <w:t>7.5R(7.5R</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1984"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1985"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before="39" w:beforeLines="10" w:beforeAutospacing="0" w:after="39"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bl>
                          <w:p>
                            <w:pPr>
                              <w:pStyle w:val="0"/>
                              <w:rPr>
                                <w:rFonts w:hint="default"/>
                                <w:sz w:val="2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04" style="mso-wrap-distance-right:9pt;mso-wrap-distance-bottom:0pt;margin-top:19.2pt;mso-position-vertical-relative:text;mso-position-horizontal-relative:text;v-text-anchor:top;position:absolute;height:137.85pt;mso-wrap-distance-top:0pt;width:462.45pt;mso-wrap-distance-left:9pt;margin-left:-15.75pt;z-index:2;" o:spid="_x0000_s1026" o:allowincell="t" o:allowoverlap="t" filled="f" stroked="f" o:spt="202" type="#_x0000_t202">
                <v:fill/>
                <v:textbox style="layout-flow:horizontal;" inset="2.5399999999999996mm,1.2699999999999998mm,2.5399999999999996mm,1.2699999999999998mm">
                  <w:txbxContent>
                    <w:p>
                      <w:pPr>
                        <w:pStyle w:val="0"/>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＜表</w:t>
                      </w:r>
                      <w:r>
                        <w:rPr>
                          <w:rFonts w:hint="eastAsia" w:asciiTheme="majorEastAsia" w:hAnsiTheme="majorEastAsia" w:eastAsiaTheme="majorEastAsia"/>
                          <w:sz w:val="22"/>
                        </w:rPr>
                        <w:t>1</w:t>
                      </w:r>
                      <w:r>
                        <w:rPr>
                          <w:rFonts w:hint="default" w:asciiTheme="majorEastAsia" w:hAnsiTheme="majorEastAsia" w:eastAsiaTheme="majorEastAsia"/>
                          <w:sz w:val="22"/>
                        </w:rPr>
                        <w:t>　</w:t>
                      </w:r>
                      <w:r>
                        <w:rPr>
                          <w:rFonts w:hint="eastAsia" w:asciiTheme="majorEastAsia" w:hAnsiTheme="majorEastAsia" w:eastAsiaTheme="majorEastAsia"/>
                          <w:sz w:val="22"/>
                        </w:rPr>
                        <w:t>都市景観誘導地域の色彩の</w:t>
                      </w:r>
                      <w:r>
                        <w:rPr>
                          <w:rFonts w:hint="default" w:asciiTheme="majorEastAsia" w:hAnsiTheme="majorEastAsia" w:eastAsiaTheme="majorEastAsia"/>
                          <w:sz w:val="22"/>
                        </w:rPr>
                        <w:t>範囲</w:t>
                      </w:r>
                      <w:r>
                        <w:rPr>
                          <w:rFonts w:hint="eastAsia" w:asciiTheme="majorEastAsia" w:hAnsiTheme="majorEastAsia" w:eastAsiaTheme="majorEastAsia"/>
                          <w:sz w:val="22"/>
                        </w:rPr>
                        <w:t>＞</w:t>
                      </w:r>
                    </w:p>
                    <w:p>
                      <w:pPr>
                        <w:pStyle w:val="0"/>
                        <w:spacing w:line="240" w:lineRule="exact"/>
                        <w:ind w:firstLine="440" w:firstLineChars="200"/>
                        <w:rPr>
                          <w:rFonts w:hint="default" w:asciiTheme="majorEastAsia" w:hAnsiTheme="majorEastAsia" w:eastAsiaTheme="majorEastAsia"/>
                          <w:sz w:val="22"/>
                        </w:rPr>
                      </w:pPr>
                      <w:r>
                        <w:rPr>
                          <w:rFonts w:hint="eastAsia" w:asciiTheme="majorEastAsia" w:hAnsiTheme="majorEastAsia" w:eastAsiaTheme="majorEastAsia"/>
                          <w:sz w:val="22"/>
                        </w:rPr>
                        <w:t>（数値はマンセル表色法によるマンセル値）</w:t>
                      </w:r>
                    </w:p>
                    <w:tbl>
                      <w:tblPr>
                        <w:tblStyle w:val="11"/>
                        <w:tblW w:w="825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81"/>
                        <w:gridCol w:w="1984"/>
                        <w:gridCol w:w="1985"/>
                      </w:tblGrid>
                      <w:tr>
                        <w:trPr/>
                        <w:tc>
                          <w:tcPr>
                            <w:tcW w:w="4281"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色　　相</w:t>
                            </w:r>
                          </w:p>
                        </w:tc>
                        <w:tc>
                          <w:tcPr>
                            <w:tcW w:w="1984"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明　</w:t>
                            </w:r>
                            <w:r>
                              <w:rPr>
                                <w:rFonts w:hint="default" w:ascii="ＭＳ ゴシック" w:hAnsi="ＭＳ ゴシック" w:eastAsia="ＭＳ ゴシック"/>
                                <w:sz w:val="22"/>
                              </w:rPr>
                              <w:t>　</w:t>
                            </w:r>
                            <w:r>
                              <w:rPr>
                                <w:rFonts w:hint="eastAsia" w:ascii="ＭＳ ゴシック" w:hAnsi="ＭＳ ゴシック" w:eastAsia="ＭＳ ゴシック"/>
                                <w:sz w:val="22"/>
                              </w:rPr>
                              <w:t>度</w:t>
                            </w:r>
                          </w:p>
                        </w:tc>
                        <w:tc>
                          <w:tcPr>
                            <w:tcW w:w="1985"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彩　</w:t>
                            </w:r>
                            <w:r>
                              <w:rPr>
                                <w:rFonts w:hint="default" w:ascii="ＭＳ ゴシック" w:hAnsi="ＭＳ ゴシック" w:eastAsia="ＭＳ ゴシック"/>
                                <w:sz w:val="22"/>
                              </w:rPr>
                              <w:t>　</w:t>
                            </w:r>
                            <w:r>
                              <w:rPr>
                                <w:rFonts w:hint="eastAsia" w:ascii="ＭＳ ゴシック" w:hAnsi="ＭＳ ゴシック" w:eastAsia="ＭＳ ゴシック"/>
                                <w:sz w:val="22"/>
                              </w:rPr>
                              <w:t>度</w:t>
                            </w:r>
                          </w:p>
                        </w:tc>
                      </w:tr>
                      <w:tr>
                        <w:trPr>
                          <w:trHeight w:val="63" w:hRule="atLeast"/>
                        </w:trPr>
                        <w:tc>
                          <w:tcPr>
                            <w:tcW w:w="4281"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7.5R</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は含まない）</w:t>
                            </w:r>
                          </w:p>
                        </w:tc>
                        <w:tc>
                          <w:tcPr>
                            <w:tcW w:w="1984"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1985" w:type="dxa"/>
                            <w:vAlign w:val="center"/>
                          </w:tcPr>
                          <w:p>
                            <w:pPr>
                              <w:pStyle w:val="0"/>
                              <w:spacing w:before="39" w:beforeLines="10" w:beforeAutospacing="0" w:after="39"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以下</w:t>
                            </w:r>
                          </w:p>
                        </w:tc>
                      </w:tr>
                      <w:tr>
                        <w:trPr>
                          <w:trHeight w:val="74" w:hRule="atLeast"/>
                        </w:trPr>
                        <w:tc>
                          <w:tcPr>
                            <w:tcW w:w="4281"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7.5GY(7.5GY</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1984"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1985" w:type="dxa"/>
                            <w:vAlign w:val="center"/>
                          </w:tcPr>
                          <w:p>
                            <w:pPr>
                              <w:pStyle w:val="0"/>
                              <w:spacing w:before="39" w:beforeLines="10" w:beforeAutospacing="0" w:after="39"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r>
                        <w:trPr>
                          <w:trHeight w:val="74" w:hRule="atLeast"/>
                        </w:trPr>
                        <w:tc>
                          <w:tcPr>
                            <w:tcW w:w="4281"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7.5GY</w:t>
                            </w:r>
                            <w:r>
                              <w:rPr>
                                <w:rFonts w:hint="eastAsia" w:ascii="ＭＳ ゴシック" w:hAnsi="ＭＳ ゴシック" w:eastAsia="ＭＳ ゴシック"/>
                                <w:sz w:val="22"/>
                              </w:rPr>
                              <w:t>〜</w:t>
                            </w:r>
                            <w:r>
                              <w:rPr>
                                <w:rFonts w:hint="eastAsia" w:ascii="ＭＳ ゴシック" w:hAnsi="ＭＳ ゴシック" w:eastAsia="ＭＳ ゴシック"/>
                                <w:sz w:val="22"/>
                              </w:rPr>
                              <w:t>7.5RP(7.5RP</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1984"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1985" w:type="dxa"/>
                            <w:vAlign w:val="center"/>
                          </w:tcPr>
                          <w:p>
                            <w:pPr>
                              <w:pStyle w:val="0"/>
                              <w:spacing w:before="39" w:beforeLines="10" w:beforeAutospacing="0" w:after="39"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以下</w:t>
                            </w:r>
                          </w:p>
                        </w:tc>
                      </w:tr>
                      <w:tr>
                        <w:trPr>
                          <w:trHeight w:val="63" w:hRule="atLeast"/>
                        </w:trPr>
                        <w:tc>
                          <w:tcPr>
                            <w:tcW w:w="4281"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7.5RP</w:t>
                            </w:r>
                            <w:r>
                              <w:rPr>
                                <w:rFonts w:hint="eastAsia" w:ascii="ＭＳ ゴシック" w:hAnsi="ＭＳ ゴシック" w:eastAsia="ＭＳ ゴシック"/>
                                <w:sz w:val="22"/>
                              </w:rPr>
                              <w:t>〜</w:t>
                            </w:r>
                            <w:r>
                              <w:rPr>
                                <w:rFonts w:hint="eastAsia" w:ascii="ＭＳ ゴシック" w:hAnsi="ＭＳ ゴシック" w:eastAsia="ＭＳ ゴシック"/>
                                <w:sz w:val="22"/>
                              </w:rPr>
                              <w:t>7.5R(7.5R</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1984"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1985"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before="39" w:beforeLines="10" w:beforeAutospacing="0" w:after="39" w:afterLines="10" w:afterAutospacing="0" w:line="280" w:lineRule="exact"/>
                              <w:ind w:left="139" w:leftChars="66"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bl>
                    <w:p>
                      <w:pPr>
                        <w:pStyle w:val="0"/>
                        <w:rPr>
                          <w:rFonts w:hint="default"/>
                          <w:sz w:val="20"/>
                        </w:rPr>
                      </w:pPr>
                    </w:p>
                  </w:txbxContent>
                </v:textbox>
                <v:imagedata o:title=""/>
                <w10:wrap type="none" anchorx="text" anchory="text"/>
              </v:shape>
            </w:pict>
          </mc:Fallback>
        </mc:AlternateContent>
      </w: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eastAsia"/>
          <w:sz w:val="24"/>
        </w:rPr>
      </w:pPr>
    </w:p>
    <w:p>
      <w:pPr>
        <w:pStyle w:val="0"/>
        <w:widowControl w:val="1"/>
        <w:spacing w:line="520" w:lineRule="exact"/>
        <w:jc w:val="left"/>
        <w:rPr>
          <w:rFonts w:hint="default"/>
          <w:sz w:val="20"/>
        </w:rPr>
      </w:pPr>
      <w:r>
        <w:rPr>
          <w:rFonts w:hint="eastAsia"/>
          <w:sz w:val="20"/>
        </w:rPr>
        <w:t>備考　チェック欄については、該当する□にレ点を記入してください。</w:t>
      </w:r>
    </w:p>
    <w:sectPr>
      <w:headerReference r:id="rId5" w:type="even"/>
      <w:headerReference r:id="rId6" w:type="default"/>
      <w:footerReference r:id="rId7" w:type="even"/>
      <w:pgSz w:w="11906" w:h="16838"/>
      <w:pgMar w:top="1418" w:right="1418" w:bottom="1418" w:left="1701" w:header="567" w:footer="567"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S明朝E">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ヒラギノ角ゴ ProN W3">
    <w:panose1 w:val="00000000000000000000"/>
    <w:charset w:val="80"/>
    <w:family w:val="auto"/>
    <w:pitch w:val="fixed"/>
    <w:sig w:usb0="00000000" w:usb1="00000000" w:usb2="00000000" w:usb3="00000000" w:csb0="0D000200" w:csb1="00000000"/>
  </w:font>
  <w:font w:name="Century Gothic">
    <w:panose1 w:val="00000000000000000000"/>
    <w:charset w:val="00"/>
    <w:family w:val="swiss"/>
    <w:notTrueType/>
    <w:pitch w:val="variable"/>
    <w:sig w:usb0="00000000" w:usb1="00000000" w:usb2="00000000" w:usb3="00000000" w:csb0="FF000000" w:csb1="00000000"/>
  </w:font>
  <w:font w:name="Palatino Linotype">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framePr w:wrap="around" w:hAnchor="margin" w:vAnchor="text" w:x="-4" w:y="2"/>
      <w:rPr>
        <w:rStyle w:val="34"/>
        <w:rFonts w:hint="default" w:ascii="HG丸ｺﾞｼｯｸM-PRO" w:hAnsi="HG丸ｺﾞｼｯｸM-PRO" w:eastAsia="HG丸ｺﾞｼｯｸM-PRO"/>
      </w:rPr>
    </w:pPr>
    <w:r>
      <w:rPr>
        <w:rStyle w:val="34"/>
        <w:rFonts w:hint="default" w:ascii="HG丸ｺﾞｼｯｸM-PRO" w:hAnsi="HG丸ｺﾞｼｯｸM-PRO" w:eastAsia="HG丸ｺﾞｼｯｸM-PRO"/>
      </w:rPr>
      <w:t xml:space="preserve">- </w:t>
    </w:r>
    <w:r>
      <w:rPr>
        <w:rFonts w:hint="eastAsia"/>
      </w:rPr>
      <w:fldChar w:fldCharType="begin"/>
    </w:r>
    <w:r>
      <w:rPr>
        <w:rFonts w:hint="eastAsia"/>
      </w:rPr>
      <w:instrText xml:space="preserve">PAGE  \* MERGEFORMAT </w:instrText>
    </w:r>
    <w:r>
      <w:rPr>
        <w:rFonts w:hint="eastAsia"/>
      </w:rPr>
      <w:fldChar w:fldCharType="separate"/>
    </w:r>
    <w:r>
      <w:rPr>
        <w:rStyle w:val="34"/>
        <w:rFonts w:hint="default" w:ascii="HG丸ｺﾞｼｯｸM-PRO" w:hAnsi="HG丸ｺﾞｼｯｸM-PRO" w:eastAsia="HG丸ｺﾞｼｯｸM-PRO"/>
      </w:rPr>
      <w:t>2</w:t>
    </w:r>
    <w:r>
      <w:rPr>
        <w:rFonts w:hint="eastAsia"/>
      </w:rPr>
      <w:fldChar w:fldCharType="end"/>
    </w:r>
    <w:r>
      <w:rPr>
        <w:rStyle w:val="34"/>
        <w:rFonts w:hint="default" w:ascii="HG丸ｺﾞｼｯｸM-PRO" w:hAnsi="HG丸ｺﾞｼｯｸM-PRO" w:eastAsia="HG丸ｺﾞｼｯｸM-PRO"/>
      </w:rPr>
      <w:t xml:space="preserve"> -</w:t>
    </w:r>
  </w:p>
  <w:p>
    <w:pPr>
      <w:pStyle w:val="2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p>
    <w:pPr>
      <w:pStyle w:val="27"/>
      <w:rPr>
        <w:rFonts w:hint="default"/>
      </w:rPr>
    </w:pPr>
  </w:p>
  <w:p>
    <w:pPr>
      <w:pStyle w:val="27"/>
      <w:rPr>
        <w:rFonts w:hint="default"/>
        <w:sz w:val="20"/>
      </w:rPr>
    </w:pPr>
    <w:r>
      <w:rPr>
        <w:rFonts w:hint="eastAsia"/>
        <w:sz w:val="20"/>
      </w:rPr>
      <w:t>様式第</w:t>
    </w:r>
    <w:r>
      <w:rPr>
        <w:rFonts w:hint="eastAsia"/>
        <w:sz w:val="20"/>
      </w:rPr>
      <w:t>3</w:t>
    </w:r>
    <w:r>
      <w:rPr>
        <w:rFonts w:hint="eastAsia"/>
        <w:sz w:val="20"/>
      </w:rPr>
      <w:t>の</w:t>
    </w:r>
    <w:r>
      <w:rPr>
        <w:rFonts w:hint="eastAsia"/>
        <w:sz w:val="20"/>
      </w:rPr>
      <w:t>1</w:t>
    </w:r>
    <w:r>
      <w:rPr>
        <w:rFonts w:hint="eastAsia"/>
        <w:sz w:val="20"/>
      </w:rPr>
      <w:t>号（第</w:t>
    </w:r>
    <w:r>
      <w:rPr>
        <w:rFonts w:hint="eastAsia"/>
        <w:sz w:val="20"/>
      </w:rPr>
      <w:t>4</w:t>
    </w:r>
    <w:r>
      <w:rPr>
        <w:rFonts w:hint="eastAsia"/>
        <w:sz w:val="20"/>
      </w:rPr>
      <w:t>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p>
    <w:pPr>
      <w:pStyle w:val="27"/>
      <w:rPr>
        <w:rFonts w:hint="default"/>
      </w:rPr>
    </w:pPr>
  </w:p>
  <w:p>
    <w:pPr>
      <w:pStyle w:val="27"/>
      <w:rPr>
        <w:rFonts w:hint="default"/>
        <w:sz w:val="20"/>
      </w:rPr>
    </w:pPr>
    <w:r>
      <w:rPr>
        <w:rFonts w:hint="eastAsia"/>
        <w:sz w:val="20"/>
      </w:rPr>
      <w:t>様式第１号（第２条関係）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960"/>
  <w:drawingGridHorizontalSpacing w:val="105"/>
  <w:drawingGridVerticalSpacing w:val="200"/>
  <w:displayHorizontalDrawingGridEvery w:val="0"/>
  <w:displayVerticalDrawingGridEvery w:val="2"/>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Theme="minorEastAsia"/>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１）見出し"/>
    <w:basedOn w:val="0"/>
    <w:next w:val="15"/>
    <w:link w:val="0"/>
    <w:uiPriority w:val="0"/>
    <w:qFormat/>
    <w:pPr>
      <w:spacing w:before="312" w:beforeLines="80" w:beforeAutospacing="0" w:line="340" w:lineRule="exact"/>
      <w:ind w:left="840" w:hanging="840" w:hangingChars="300"/>
    </w:pPr>
    <w:rPr>
      <w:rFonts w:ascii="HGS創英角ｺﾞｼｯｸUB" w:hAnsi="HGS創英角ｺﾞｼｯｸUB" w:eastAsia="HGS創英角ｺﾞｼｯｸUB"/>
      <w:sz w:val="28"/>
    </w:rPr>
  </w:style>
  <w:style w:type="paragraph" w:styleId="16" w:customStyle="1">
    <w:name w:val="本文（MS明朝）"/>
    <w:basedOn w:val="0"/>
    <w:next w:val="16"/>
    <w:link w:val="0"/>
    <w:uiPriority w:val="0"/>
    <w:qFormat/>
    <w:pPr>
      <w:spacing w:before="117" w:beforeLines="30" w:beforeAutospacing="0" w:line="440" w:lineRule="atLeast"/>
      <w:ind w:left="283" w:leftChars="135" w:firstLine="221"/>
    </w:pPr>
    <w:rPr>
      <w:rFonts w:asciiTheme="minorEastAsia" w:hAnsiTheme="minorEastAsia" w:eastAsiaTheme="minorEastAsia"/>
      <w:sz w:val="22"/>
    </w:rPr>
  </w:style>
  <w:style w:type="paragraph" w:styleId="17" w:customStyle="1">
    <w:name w:val="※注釈"/>
    <w:basedOn w:val="16"/>
    <w:next w:val="17"/>
    <w:link w:val="0"/>
    <w:uiPriority w:val="0"/>
    <w:qFormat/>
    <w:pPr>
      <w:spacing w:before="180" w:beforeLines="0" w:beforeAutospacing="0" w:line="260" w:lineRule="exact"/>
      <w:ind w:left="1260" w:leftChars="500" w:hanging="210" w:hangingChars="100"/>
    </w:pPr>
    <w:rPr>
      <w:sz w:val="21"/>
    </w:rPr>
  </w:style>
  <w:style w:type="paragraph" w:styleId="18" w:customStyle="1">
    <w:name w:val="○計画説明"/>
    <w:basedOn w:val="0"/>
    <w:next w:val="18"/>
    <w:link w:val="0"/>
    <w:uiPriority w:val="0"/>
    <w:qFormat/>
    <w:pPr>
      <w:spacing w:line="360" w:lineRule="exact"/>
      <w:ind w:left="955" w:leftChars="350" w:right="34" w:hanging="220" w:hangingChars="100"/>
    </w:pPr>
    <w:rPr>
      <w:rFonts w:ascii="HG丸ｺﾞｼｯｸM-PRO" w:hAnsi="HG丸ｺﾞｼｯｸM-PRO" w:eastAsia="HG丸ｺﾞｼｯｸM-PRO"/>
      <w:sz w:val="22"/>
    </w:rPr>
  </w:style>
  <w:style w:type="paragraph" w:styleId="19" w:customStyle="1">
    <w:name w:val="●計画名"/>
    <w:basedOn w:val="0"/>
    <w:next w:val="19"/>
    <w:link w:val="0"/>
    <w:uiPriority w:val="0"/>
    <w:qFormat/>
    <w:pPr>
      <w:spacing w:before="195" w:beforeLines="50" w:beforeAutospacing="0"/>
      <w:ind w:left="315" w:leftChars="150" w:right="35" w:firstLine="238" w:firstLineChars="100"/>
    </w:pPr>
    <w:rPr>
      <w:rFonts w:ascii="HG丸ｺﾞｼｯｸM-PRO" w:hAnsi="HG丸ｺﾞｼｯｸM-PRO" w:eastAsia="HG丸ｺﾞｼｯｸM-PRO"/>
      <w:b w:val="1"/>
      <w:sz w:val="22"/>
    </w:rPr>
  </w:style>
  <w:style w:type="paragraph" w:styleId="20" w:customStyle="1">
    <w:name w:val="１　見出し"/>
    <w:basedOn w:val="0"/>
    <w:next w:val="20"/>
    <w:link w:val="0"/>
    <w:uiPriority w:val="0"/>
    <w:qFormat/>
    <w:pPr>
      <w:shd w:val="clear" w:color="auto" w:fill="42558C"/>
      <w:spacing w:line="480" w:lineRule="atLeast"/>
    </w:pPr>
    <w:rPr>
      <w:rFonts w:ascii="HGS創英角ｺﾞｼｯｸUB" w:hAnsi="HGS創英角ｺﾞｼｯｸUB" w:eastAsia="HGS創英角ｺﾞｼｯｸUB"/>
      <w:color w:val="FFFFFF" w:themeColor="background1"/>
      <w:sz w:val="32"/>
    </w:rPr>
  </w:style>
  <w:style w:type="paragraph" w:styleId="21" w:customStyle="1">
    <w:name w:val="①見出し"/>
    <w:basedOn w:val="0"/>
    <w:next w:val="21"/>
    <w:link w:val="0"/>
    <w:uiPriority w:val="0"/>
    <w:qFormat/>
    <w:pPr>
      <w:spacing w:before="390" w:beforeLines="100" w:beforeAutospacing="0" w:line="480" w:lineRule="atLeast"/>
      <w:ind w:left="797" w:leftChars="200" w:right="34" w:hanging="377" w:hangingChars="157"/>
    </w:pPr>
    <w:rPr>
      <w:rFonts w:ascii="HGP創英角ｺﾞｼｯｸUB" w:hAnsi="HGP創英角ｺﾞｼｯｸUB" w:eastAsia="HGP創英角ｺﾞｼｯｸUB"/>
      <w:color w:val="244061"/>
      <w:sz w:val="24"/>
    </w:rPr>
  </w:style>
  <w:style w:type="paragraph" w:styleId="22" w:customStyle="1">
    <w:name w:val="キャプション（丸ゴシック）"/>
    <w:basedOn w:val="0"/>
    <w:next w:val="22"/>
    <w:link w:val="0"/>
    <w:uiPriority w:val="0"/>
    <w:qFormat/>
    <w:pPr>
      <w:spacing w:line="300" w:lineRule="exact"/>
    </w:pPr>
    <w:rPr>
      <w:rFonts w:ascii="HG丸ｺﾞｼｯｸM-PRO" w:hAnsi="HG丸ｺﾞｼｯｸM-PRO" w:eastAsia="HG丸ｺﾞｼｯｸM-PRO"/>
    </w:rPr>
  </w:style>
  <w:style w:type="paragraph" w:styleId="23" w:customStyle="1">
    <w:name w:val="ヘッダ（青）奇数"/>
    <w:basedOn w:val="0"/>
    <w:next w:val="23"/>
    <w:link w:val="0"/>
    <w:uiPriority w:val="0"/>
    <w:qFormat/>
    <w:pPr>
      <w:pBdr>
        <w:bottom w:val="single" w:color="365F91" w:sz="4" w:space="1"/>
      </w:pBdr>
      <w:tabs>
        <w:tab w:val="center" w:leader="none" w:pos="4252"/>
        <w:tab w:val="right" w:leader="none" w:pos="8504"/>
      </w:tabs>
      <w:snapToGrid w:val="0"/>
      <w:ind w:firstLine="200"/>
      <w:jc w:val="right"/>
    </w:pPr>
    <w:rPr>
      <w:rFonts w:ascii="HG丸ｺﾞｼｯｸM-PRO" w:hAnsi="HG丸ｺﾞｼｯｸM-PRO" w:eastAsia="HG丸ｺﾞｼｯｸM-PRO"/>
      <w:color w:val="244061"/>
      <w:sz w:val="20"/>
    </w:rPr>
  </w:style>
  <w:style w:type="paragraph" w:styleId="24" w:customStyle="1">
    <w:name w:val="リード文"/>
    <w:basedOn w:val="0"/>
    <w:next w:val="24"/>
    <w:link w:val="0"/>
    <w:uiPriority w:val="0"/>
    <w:qFormat/>
    <w:pPr>
      <w:spacing w:before="195" w:beforeLines="50" w:beforeAutospacing="0" w:line="390" w:lineRule="atLeast"/>
      <w:ind w:firstLine="220" w:firstLineChars="100"/>
    </w:pPr>
    <w:rPr>
      <w:rFonts w:asciiTheme="minorEastAsia" w:hAnsiTheme="minorEastAsia" w:eastAsiaTheme="minorEastAsia"/>
      <w:sz w:val="22"/>
    </w:rPr>
  </w:style>
  <w:style w:type="paragraph" w:styleId="25" w:customStyle="1">
    <w:name w:val="章見出し"/>
    <w:basedOn w:val="0"/>
    <w:next w:val="25"/>
    <w:link w:val="0"/>
    <w:uiPriority w:val="0"/>
    <w:qFormat/>
    <w:pPr>
      <w:spacing w:line="1360" w:lineRule="exact"/>
      <w:jc w:val="right"/>
    </w:pPr>
    <w:rPr>
      <w:rFonts w:ascii="HGP創英角ｺﾞｼｯｸUB" w:hAnsi="HGP創英角ｺﾞｼｯｸUB" w:eastAsia="HGP創英角ｺﾞｼｯｸUB"/>
      <w:color w:val="42558C" w:themeColor="accent1" w:themeShade="BF"/>
      <w:sz w:val="96"/>
    </w:rPr>
  </w:style>
  <w:style w:type="paragraph" w:styleId="26" w:customStyle="1">
    <w:name w:val="本文（丸ゴシ）"/>
    <w:basedOn w:val="0"/>
    <w:next w:val="26"/>
    <w:link w:val="0"/>
    <w:uiPriority w:val="0"/>
    <w:qFormat/>
    <w:pPr>
      <w:spacing w:before="117" w:beforeLines="30" w:beforeAutospacing="0" w:line="390" w:lineRule="atLeast"/>
      <w:ind w:left="630" w:leftChars="300" w:firstLine="220" w:firstLineChars="100"/>
    </w:pPr>
    <w:rPr>
      <w:rFonts w:ascii="HG丸ｺﾞｼｯｸM-PRO" w:hAnsi="HG丸ｺﾞｼｯｸM-PRO" w:eastAsia="HG丸ｺﾞｼｯｸM-PRO"/>
      <w:sz w:val="22"/>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Century" w:hAnsi="Century" w:eastAsia="ＭＳ 明朝"/>
      <w:kern w:val="2"/>
      <w:sz w:val="21"/>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Century" w:hAnsi="Century" w:eastAsia="ＭＳ 明朝"/>
      <w:kern w:val="2"/>
      <w:sz w:val="21"/>
    </w:rPr>
  </w:style>
  <w:style w:type="paragraph" w:styleId="31">
    <w:name w:val="List Paragraph"/>
    <w:basedOn w:val="0"/>
    <w:next w:val="31"/>
    <w:link w:val="0"/>
    <w:uiPriority w:val="0"/>
    <w:qFormat/>
    <w:pPr>
      <w:ind w:left="960" w:leftChars="400"/>
    </w:pPr>
  </w:style>
  <w:style w:type="paragraph" w:styleId="32" w:customStyle="1">
    <w:name w:val="ヘッダ（青）偶数"/>
    <w:basedOn w:val="23"/>
    <w:next w:val="32"/>
    <w:link w:val="0"/>
    <w:uiPriority w:val="0"/>
    <w:qFormat/>
    <w:pPr>
      <w:ind w:firstLine="0"/>
      <w:jc w:val="left"/>
    </w:pPr>
  </w:style>
  <w:style w:type="paragraph" w:styleId="33" w:customStyle="1">
    <w:name w:val="本文（箇条書き）"/>
    <w:basedOn w:val="16"/>
    <w:next w:val="33"/>
    <w:link w:val="0"/>
    <w:uiPriority w:val="0"/>
    <w:qFormat/>
    <w:pPr>
      <w:ind w:left="850" w:leftChars="299" w:right="281" w:rightChars="134" w:hanging="222" w:hangingChars="101"/>
    </w:pPr>
  </w:style>
  <w:style w:type="character" w:styleId="34">
    <w:name w:val="page number"/>
    <w:basedOn w:val="10"/>
    <w:next w:val="34"/>
    <w:link w:val="0"/>
    <w:uiPriority w:val="0"/>
  </w:style>
  <w:style w:type="paragraph" w:styleId="35">
    <w:name w:val="Balloon Text"/>
    <w:basedOn w:val="0"/>
    <w:next w:val="35"/>
    <w:link w:val="36"/>
    <w:uiPriority w:val="0"/>
    <w:semiHidden/>
    <w:rPr>
      <w:rFonts w:ascii="ヒラギノ角ゴ ProN W3" w:hAnsi="ヒラギノ角ゴ ProN W3" w:eastAsia="ヒラギノ角ゴ ProN W3"/>
      <w:sz w:val="18"/>
    </w:rPr>
  </w:style>
  <w:style w:type="character" w:styleId="36" w:customStyle="1">
    <w:name w:val="吹き出し (文字)"/>
    <w:basedOn w:val="10"/>
    <w:next w:val="36"/>
    <w:link w:val="35"/>
    <w:uiPriority w:val="0"/>
    <w:rPr>
      <w:rFonts w:ascii="ヒラギノ角ゴ ProN W3" w:hAnsi="ヒラギノ角ゴ ProN W3" w:eastAsia="ヒラギノ角ゴ ProN W3"/>
      <w:kern w:val="2"/>
      <w:sz w:val="18"/>
    </w:rPr>
  </w:style>
  <w:style w:type="paragraph" w:styleId="37" w:customStyle="1">
    <w:name w:val="本文（丸ゴシ）箇条書き"/>
    <w:basedOn w:val="26"/>
    <w:next w:val="37"/>
    <w:link w:val="0"/>
    <w:uiPriority w:val="0"/>
    <w:qFormat/>
    <w:pPr>
      <w:spacing w:before="120" w:beforeLines="0" w:beforeAutospacing="0"/>
      <w:ind w:left="867" w:leftChars="305" w:hanging="196" w:firstLineChars="0"/>
    </w:pPr>
  </w:style>
  <w:style w:type="paragraph" w:styleId="38" w:customStyle="1">
    <w:name w:val="資料編表"/>
    <w:basedOn w:val="0"/>
    <w:next w:val="38"/>
    <w:link w:val="0"/>
    <w:uiPriority w:val="0"/>
    <w:qFormat/>
    <w:pPr>
      <w:widowControl w:val="1"/>
      <w:jc w:val="right"/>
    </w:pPr>
    <w:rPr>
      <w:rFonts w:asciiTheme="majorEastAsia" w:hAnsiTheme="majorEastAsia" w:eastAsiaTheme="majorEastAsia"/>
      <w:color w:val="000000"/>
      <w:kern w:val="0"/>
      <w:sz w:val="18"/>
    </w:rPr>
  </w:style>
  <w:style w:type="paragraph" w:styleId="39" w:customStyle="1">
    <w:name w:val="表（丸ゴシ）"/>
    <w:basedOn w:val="0"/>
    <w:next w:val="39"/>
    <w:link w:val="0"/>
    <w:uiPriority w:val="0"/>
    <w:qFormat/>
    <w:pPr>
      <w:spacing w:before="78" w:beforeLines="20" w:beforeAutospacing="0" w:after="78" w:afterLines="20" w:afterAutospacing="0" w:line="320" w:lineRule="exact"/>
    </w:pPr>
    <w:rPr>
      <w:rFonts w:ascii="HG丸ｺﾞｼｯｸM-PRO" w:hAnsi="HG丸ｺﾞｼｯｸM-PRO" w:eastAsia="HG丸ｺﾞｼｯｸM-PRO"/>
      <w:sz w:val="22"/>
    </w:rPr>
  </w:style>
  <w:style w:type="paragraph" w:styleId="40">
    <w:name w:val="caption"/>
    <w:basedOn w:val="0"/>
    <w:next w:val="0"/>
    <w:link w:val="0"/>
    <w:uiPriority w:val="0"/>
    <w:semiHidden/>
    <w:qFormat/>
    <w:rPr>
      <w:b w:val="1"/>
    </w:r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pPr>
      <w:jc w:val="left"/>
    </w:pPr>
  </w:style>
  <w:style w:type="character" w:styleId="43" w:customStyle="1">
    <w:name w:val="コメント文字列 (文字)"/>
    <w:basedOn w:val="10"/>
    <w:next w:val="43"/>
    <w:link w:val="42"/>
    <w:uiPriority w:val="0"/>
    <w:rPr>
      <w:rFonts w:ascii="Century" w:hAnsi="Century" w:eastAsia="ＭＳ 明朝"/>
      <w:kern w:val="2"/>
      <w:sz w:val="21"/>
    </w:rPr>
  </w:style>
  <w:style w:type="paragraph" w:styleId="44">
    <w:name w:val="annotation subject"/>
    <w:basedOn w:val="42"/>
    <w:next w:val="42"/>
    <w:link w:val="45"/>
    <w:uiPriority w:val="0"/>
    <w:semiHidden/>
    <w:rPr>
      <w:b w:val="1"/>
    </w:rPr>
  </w:style>
  <w:style w:type="character" w:styleId="45" w:customStyle="1">
    <w:name w:val="コメント内容 (文字)"/>
    <w:basedOn w:val="43"/>
    <w:next w:val="45"/>
    <w:link w:val="44"/>
    <w:uiPriority w:val="0"/>
    <w:rPr>
      <w:rFonts w:ascii="Century" w:hAnsi="Century" w:eastAsia="ＭＳ 明朝"/>
      <w:b w:val="1"/>
      <w:kern w:val="2"/>
      <w:sz w:val="21"/>
    </w:rPr>
  </w:style>
  <w:style w:type="table" w:styleId="46">
    <w:name w:val="Table Grid"/>
    <w:basedOn w:val="47"/>
    <w:next w:val="46"/>
    <w:link w:val="0"/>
    <w:uiPriority w:val="0"/>
    <w:rPr>
      <w:rFonts w:ascii="Century" w:hAnsi="Century" w:eastAsia="ＭＳ 明朝"/>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 w:type="table" w:styleId="47">
    <w:name w:val="Table Grid 1"/>
    <w:basedOn w:val="11"/>
    <w:next w:val="47"/>
    <w:link w:val="0"/>
    <w:uiPriority w:val="0"/>
    <w:pPr>
      <w:widowControl w:val="0"/>
      <w:jc w:val="both"/>
    </w:pPr>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bottom w:w="0" w:type="dxa"/>
        <w:left w:w="108" w:type="dxa"/>
        <w:right w:w="108" w:type="dxa"/>
      </w:tblCellMar>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_rels/theme1.xml.rels><?xml version="1.0" encoding="UTF-8"?><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エグゼクティブ">
  <a:themeElements>
    <a:clrScheme name="エグゼクティブ">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エグゼクティブ">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tileRect/>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256</TotalTime>
  <Pages>2</Pages>
  <Words>190</Words>
  <Characters>1084</Characters>
  <Application>JUST Note</Application>
  <Lines>9</Lines>
  <Paragraphs>2</Paragraphs>
  <CharactersWithSpaces>1272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2014-06-22T02:15:00Z</cp:lastPrinted>
  <dcterms:created xsi:type="dcterms:W3CDTF">2014-03-11T01:57:00Z</dcterms:created>
  <dcterms:modified xsi:type="dcterms:W3CDTF">2021-04-15T02:48:42Z</dcterms:modified>
  <cp:revision>33</cp:revision>
</cp:coreProperties>
</file>