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70"/>
          <w:sz w:val="28"/>
        </w:rPr>
        <w:t>実施体制調書</w:t>
      </w:r>
    </w:p>
    <w:p>
      <w:pPr>
        <w:pStyle w:val="0"/>
        <w:rPr>
          <w:rFonts w:hint="eastAsia"/>
          <w:sz w:val="24"/>
        </w:rPr>
      </w:pPr>
    </w:p>
    <w:tbl>
      <w:tblPr>
        <w:tblStyle w:val="15"/>
        <w:tblW w:w="9288" w:type="dxa"/>
        <w:jc w:val="left"/>
        <w:tblInd w:w="0" w:type="dxa"/>
        <w:tblBorders>
          <w:top w:val="single" w:color="auto" w:sz="4" w:space="0"/>
          <w:left w:val="dotted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228"/>
        <w:gridCol w:w="758"/>
        <w:gridCol w:w="2707"/>
        <w:gridCol w:w="2324"/>
      </w:tblGrid>
      <w:tr>
        <w:trPr>
          <w:trHeight w:val="36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298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</w:tc>
      </w:tr>
      <w:tr>
        <w:trPr/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本業務に関する資格</w:t>
            </w:r>
          </w:p>
        </w:tc>
      </w:tr>
      <w:tr>
        <w:trPr>
          <w:trHeight w:val="88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7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89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担当者４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86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：担当者欄が不足する場合は、適宜追加してください。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：作成した事業者名は特定できないようにしてください。</w:t>
      </w:r>
    </w:p>
    <w:p>
      <w:pPr>
        <w:pStyle w:val="0"/>
        <w:ind w:leftChars="0" w:hanging="512" w:hangingChars="256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：川越市と契約を締結する事業者は、予定した管理責任者及び担当者を配置するものとし、交代については死亡、傷病、退職等のやむを得ない場合を除き、これを認めません。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8</w:t>
    </w:r>
    <w:bookmarkStart w:id="0" w:name="_GoBack"/>
    <w:bookmarkEnd w:id="0"/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2016-12-12T07:01:22Z</dcterms:modified>
  <cp:revision>6</cp:revision>
</cp:coreProperties>
</file>